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18B0F" w14:textId="36B77AB8" w:rsidR="006A6F1D" w:rsidRPr="001B163E" w:rsidRDefault="00FD0D3A" w:rsidP="001B163E">
      <w:pPr>
        <w:spacing w:before="120" w:after="120" w:line="240" w:lineRule="auto"/>
        <w:jc w:val="center"/>
        <w:rPr>
          <w:rFonts w:cstheme="minorHAnsi"/>
          <w:b/>
          <w:bCs/>
          <w:color w:val="922247"/>
        </w:rPr>
      </w:pPr>
      <w:r w:rsidRPr="001B163E">
        <w:rPr>
          <w:rFonts w:ascii="Courier New" w:eastAsia="Times New Roman" w:hAnsi="Courier New" w:cs="Times New Roman"/>
          <w:noProof/>
          <w:color w:val="922247"/>
        </w:rPr>
        <w:drawing>
          <wp:anchor distT="0" distB="0" distL="114300" distR="114300" simplePos="0" relativeHeight="251658240" behindDoc="1" locked="0" layoutInCell="1" allowOverlap="1" wp14:anchorId="5958A2C8" wp14:editId="7D00CEDD">
            <wp:simplePos x="0" y="0"/>
            <wp:positionH relativeFrom="margin">
              <wp:align>center</wp:align>
            </wp:positionH>
            <wp:positionV relativeFrom="paragraph">
              <wp:posOffset>0</wp:posOffset>
            </wp:positionV>
            <wp:extent cx="963295" cy="966470"/>
            <wp:effectExtent l="0" t="0" r="0" b="5080"/>
            <wp:wrapTopAndBottom/>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3295" cy="9664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F1D" w:rsidRPr="001B163E">
        <w:rPr>
          <w:rFonts w:cstheme="minorHAnsi"/>
          <w:b/>
          <w:bCs/>
          <w:color w:val="922247"/>
        </w:rPr>
        <w:t>LOYOLA UNIVERSITY CHICAGO</w:t>
      </w:r>
      <w:r w:rsidR="006A6F1D" w:rsidRPr="001B163E">
        <w:rPr>
          <w:rFonts w:cstheme="minorHAnsi"/>
          <w:b/>
          <w:bCs/>
          <w:color w:val="C00000"/>
        </w:rPr>
        <w:br/>
      </w:r>
      <w:r w:rsidR="006A6F1D" w:rsidRPr="001B163E">
        <w:rPr>
          <w:rFonts w:cstheme="minorHAnsi"/>
          <w:b/>
          <w:bCs/>
          <w:color w:val="922247"/>
        </w:rPr>
        <w:t>SCHOOL OF SOCIAL WORK</w:t>
      </w:r>
    </w:p>
    <w:p w14:paraId="6E82006C" w14:textId="0B3CABD0" w:rsidR="006A6F1D" w:rsidRDefault="006A6F1D" w:rsidP="001B163E">
      <w:pPr>
        <w:spacing w:before="120" w:after="120" w:line="240" w:lineRule="auto"/>
        <w:jc w:val="center"/>
        <w:rPr>
          <w:rFonts w:cstheme="minorHAnsi"/>
          <w:b/>
          <w:bCs/>
          <w:color w:val="922247"/>
        </w:rPr>
      </w:pPr>
      <w:r w:rsidRPr="001B163E">
        <w:rPr>
          <w:rFonts w:cstheme="minorHAnsi"/>
          <w:b/>
          <w:bCs/>
          <w:color w:val="922247"/>
        </w:rPr>
        <w:t>COURSE SYLLABUS</w:t>
      </w:r>
    </w:p>
    <w:p w14:paraId="3197FFEA" w14:textId="5290D0D0" w:rsidR="001B163E" w:rsidRPr="00247C5B" w:rsidRDefault="001B163E" w:rsidP="001B163E">
      <w:pPr>
        <w:spacing w:before="120" w:after="120" w:line="240" w:lineRule="auto"/>
        <w:contextualSpacing/>
        <w:jc w:val="center"/>
        <w:rPr>
          <w:rFonts w:cstheme="minorHAnsi"/>
          <w:b/>
          <w:color w:val="922247"/>
          <w:sz w:val="28"/>
          <w:szCs w:val="28"/>
        </w:rPr>
      </w:pPr>
      <w:r w:rsidRPr="00247C5B">
        <w:rPr>
          <w:rFonts w:cstheme="minorHAnsi"/>
          <w:b/>
          <w:color w:val="922247"/>
          <w:sz w:val="28"/>
          <w:szCs w:val="28"/>
        </w:rPr>
        <w:t xml:space="preserve">SOWK </w:t>
      </w:r>
      <w:r w:rsidR="00975924">
        <w:rPr>
          <w:rFonts w:cstheme="minorHAnsi"/>
          <w:b/>
          <w:color w:val="922247"/>
          <w:sz w:val="28"/>
          <w:szCs w:val="28"/>
        </w:rPr>
        <w:t>380</w:t>
      </w:r>
    </w:p>
    <w:p w14:paraId="3A0494E1" w14:textId="77777777" w:rsidR="001B163E" w:rsidRPr="001B163E" w:rsidRDefault="001B163E" w:rsidP="001B163E">
      <w:pPr>
        <w:spacing w:before="120" w:after="120" w:line="240" w:lineRule="auto"/>
        <w:contextualSpacing/>
        <w:jc w:val="center"/>
        <w:rPr>
          <w:rFonts w:cstheme="minorHAnsi"/>
          <w:b/>
          <w:color w:val="922247"/>
        </w:rPr>
      </w:pPr>
    </w:p>
    <w:p w14:paraId="0C572ADF" w14:textId="4D70E21F" w:rsidR="006A6F1D" w:rsidRPr="001B163E" w:rsidRDefault="004261D1" w:rsidP="001B163E">
      <w:pPr>
        <w:spacing w:before="120" w:after="120" w:line="240" w:lineRule="auto"/>
        <w:contextualSpacing/>
        <w:jc w:val="center"/>
        <w:rPr>
          <w:rFonts w:cstheme="minorHAnsi"/>
          <w:b/>
          <w:color w:val="922247"/>
          <w:sz w:val="28"/>
          <w:szCs w:val="28"/>
        </w:rPr>
      </w:pPr>
      <w:r w:rsidRPr="001B163E">
        <w:rPr>
          <w:rFonts w:cstheme="minorHAnsi"/>
          <w:b/>
          <w:color w:val="922247"/>
          <w:sz w:val="28"/>
          <w:szCs w:val="28"/>
        </w:rPr>
        <w:t>Assessment of Client Concerns in Context</w:t>
      </w:r>
    </w:p>
    <w:p w14:paraId="7E9F95F3" w14:textId="77777777" w:rsidR="001B163E" w:rsidRPr="001B163E" w:rsidRDefault="001B163E" w:rsidP="001B163E">
      <w:pPr>
        <w:spacing w:before="120" w:after="120" w:line="240" w:lineRule="auto"/>
        <w:contextualSpacing/>
        <w:jc w:val="center"/>
        <w:rPr>
          <w:rFonts w:cstheme="minorHAnsi"/>
          <w:b/>
          <w:color w:val="922247"/>
        </w:rPr>
      </w:pPr>
    </w:p>
    <w:p w14:paraId="6BEA0BC1" w14:textId="77777777" w:rsidR="001B163E" w:rsidRPr="00263D57" w:rsidRDefault="001B163E" w:rsidP="001B163E">
      <w:pPr>
        <w:widowControl w:val="0"/>
        <w:spacing w:before="120" w:after="120" w:line="240"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1D9E6034" w14:textId="77777777" w:rsidR="006A6F1D" w:rsidRPr="00196F5E" w:rsidRDefault="006A6F1D" w:rsidP="006A6F1D">
      <w:pPr>
        <w:rPr>
          <w:rFonts w:cstheme="minorHAnsi"/>
          <w:color w:val="000000" w:themeColor="text1"/>
        </w:rPr>
      </w:pPr>
      <w:r w:rsidRPr="00196F5E">
        <w:rPr>
          <w:rFonts w:cstheme="minorHAnsi"/>
          <w:color w:val="000000" w:themeColor="text1"/>
        </w:rPr>
        <w:t>__________________________________________________________________________</w:t>
      </w:r>
    </w:p>
    <w:p w14:paraId="5FDD6808" w14:textId="77777777" w:rsidR="006A6F1D" w:rsidRPr="00110EC6" w:rsidRDefault="006A6F1D" w:rsidP="002726BD">
      <w:pPr>
        <w:spacing w:after="0" w:line="288" w:lineRule="auto"/>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Instructor Name, Title, and Pronouns: </w:t>
      </w:r>
    </w:p>
    <w:p w14:paraId="4BECDD23" w14:textId="77777777" w:rsidR="006A6F1D" w:rsidRPr="00110EC6" w:rsidRDefault="006A6F1D" w:rsidP="002726BD">
      <w:pPr>
        <w:spacing w:after="0" w:line="288" w:lineRule="auto"/>
        <w:rPr>
          <w:rFonts w:asciiTheme="majorHAnsi" w:hAnsiTheme="majorHAnsi" w:cstheme="majorHAnsi"/>
          <w:color w:val="000000" w:themeColor="text1"/>
          <w:sz w:val="24"/>
          <w:szCs w:val="24"/>
        </w:rPr>
      </w:pPr>
      <w:r w:rsidRPr="00110EC6">
        <w:rPr>
          <w:rFonts w:asciiTheme="majorHAnsi" w:hAnsiTheme="majorHAnsi" w:cstheme="majorHAnsi"/>
          <w:b/>
          <w:color w:val="000000" w:themeColor="text1"/>
          <w:sz w:val="24"/>
          <w:szCs w:val="24"/>
        </w:rPr>
        <w:t>Email:</w:t>
      </w:r>
      <w:r w:rsidRPr="00110EC6">
        <w:rPr>
          <w:rFonts w:asciiTheme="majorHAnsi" w:hAnsiTheme="majorHAnsi" w:cstheme="majorHAnsi"/>
          <w:color w:val="000000" w:themeColor="text1"/>
          <w:sz w:val="24"/>
          <w:szCs w:val="24"/>
        </w:rPr>
        <w:t xml:space="preserve"> </w:t>
      </w:r>
    </w:p>
    <w:p w14:paraId="58EC6693" w14:textId="77777777" w:rsidR="006A6F1D" w:rsidRPr="00110EC6" w:rsidRDefault="006A6F1D" w:rsidP="002726BD">
      <w:pPr>
        <w:spacing w:after="0" w:line="288" w:lineRule="auto"/>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Telephone: </w:t>
      </w:r>
    </w:p>
    <w:p w14:paraId="0027ED99" w14:textId="32839CCD" w:rsidR="006A6F1D" w:rsidRPr="00110EC6" w:rsidRDefault="006A6F1D" w:rsidP="002726BD">
      <w:pPr>
        <w:spacing w:after="0" w:line="288" w:lineRule="auto"/>
        <w:contextualSpacing/>
        <w:rPr>
          <w:rFonts w:asciiTheme="majorHAnsi" w:hAnsiTheme="majorHAnsi" w:cstheme="majorHAnsi"/>
          <w:color w:val="000000" w:themeColor="text1"/>
          <w:sz w:val="24"/>
          <w:szCs w:val="24"/>
        </w:rPr>
      </w:pPr>
      <w:r w:rsidRPr="00110EC6">
        <w:rPr>
          <w:rFonts w:asciiTheme="majorHAnsi" w:hAnsiTheme="majorHAnsi" w:cstheme="majorHAnsi"/>
          <w:b/>
          <w:color w:val="000000" w:themeColor="text1"/>
          <w:sz w:val="24"/>
          <w:szCs w:val="24"/>
        </w:rPr>
        <w:t xml:space="preserve">Office Hours: </w:t>
      </w:r>
      <w:r w:rsidRPr="00110EC6">
        <w:rPr>
          <w:rFonts w:asciiTheme="majorHAnsi" w:hAnsiTheme="majorHAnsi" w:cstheme="majorHAnsi"/>
          <w:bCs/>
          <w:color w:val="000000" w:themeColor="text1"/>
          <w:sz w:val="24"/>
          <w:szCs w:val="24"/>
          <w:highlight w:val="yellow"/>
        </w:rPr>
        <w:t xml:space="preserve">[Add days, times, </w:t>
      </w:r>
      <w:r w:rsidR="00247C5B">
        <w:rPr>
          <w:rFonts w:asciiTheme="majorHAnsi" w:hAnsiTheme="majorHAnsi" w:cstheme="majorHAnsi"/>
          <w:bCs/>
          <w:color w:val="000000" w:themeColor="text1"/>
          <w:sz w:val="24"/>
          <w:szCs w:val="24"/>
          <w:highlight w:val="yellow"/>
        </w:rPr>
        <w:t>in-person</w:t>
      </w:r>
      <w:r w:rsidRPr="00110EC6">
        <w:rPr>
          <w:rFonts w:asciiTheme="majorHAnsi" w:hAnsiTheme="majorHAnsi" w:cstheme="majorHAnsi"/>
          <w:bCs/>
          <w:color w:val="000000" w:themeColor="text1"/>
          <w:sz w:val="24"/>
          <w:szCs w:val="24"/>
          <w:highlight w:val="yellow"/>
        </w:rPr>
        <w:t>/virtual]</w:t>
      </w:r>
    </w:p>
    <w:p w14:paraId="16D2B20B" w14:textId="77777777" w:rsidR="006A6F1D" w:rsidRPr="00196F5E" w:rsidRDefault="006A6F1D" w:rsidP="006A6F1D">
      <w:pPr>
        <w:contextualSpacing/>
        <w:rPr>
          <w:rFonts w:cstheme="minorHAnsi"/>
          <w:color w:val="000000" w:themeColor="text1"/>
        </w:rPr>
      </w:pPr>
      <w:r w:rsidRPr="00196F5E">
        <w:rPr>
          <w:rFonts w:cstheme="minorHAnsi"/>
          <w:color w:val="000000" w:themeColor="text1"/>
        </w:rPr>
        <w:t>__________________________________________________________________________</w:t>
      </w:r>
    </w:p>
    <w:p w14:paraId="2C0510F6" w14:textId="77777777" w:rsidR="006A6F1D" w:rsidRPr="00110EC6" w:rsidRDefault="006A6F1D" w:rsidP="002726BD">
      <w:pPr>
        <w:spacing w:after="0" w:line="288" w:lineRule="auto"/>
        <w:contextualSpacing/>
        <w:rPr>
          <w:rFonts w:asciiTheme="majorHAnsi" w:hAnsiTheme="majorHAnsi" w:cstheme="majorHAnsi"/>
          <w:bCs/>
          <w:color w:val="000000" w:themeColor="text1"/>
          <w:sz w:val="24"/>
          <w:szCs w:val="24"/>
        </w:rPr>
      </w:pPr>
      <w:r w:rsidRPr="00110EC6">
        <w:rPr>
          <w:rFonts w:asciiTheme="majorHAnsi" w:hAnsiTheme="majorHAnsi" w:cstheme="majorHAnsi"/>
          <w:b/>
          <w:color w:val="000000" w:themeColor="text1"/>
          <w:sz w:val="24"/>
          <w:szCs w:val="24"/>
        </w:rPr>
        <w:t>Class Day and Time:</w:t>
      </w:r>
    </w:p>
    <w:p w14:paraId="596881B7" w14:textId="77777777" w:rsidR="006A6F1D" w:rsidRPr="00110EC6" w:rsidRDefault="006A6F1D" w:rsidP="002726BD">
      <w:pPr>
        <w:spacing w:after="0" w:line="288" w:lineRule="auto"/>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Class Location:</w:t>
      </w:r>
      <w:r w:rsidRPr="00110EC6">
        <w:rPr>
          <w:rFonts w:asciiTheme="majorHAnsi" w:hAnsiTheme="majorHAnsi" w:cstheme="majorHAnsi"/>
          <w:bCs/>
          <w:color w:val="000000" w:themeColor="text1"/>
          <w:sz w:val="24"/>
          <w:szCs w:val="24"/>
        </w:rPr>
        <w:t xml:space="preserve"> </w:t>
      </w:r>
      <w:r w:rsidRPr="00110EC6">
        <w:rPr>
          <w:rFonts w:asciiTheme="majorHAnsi" w:hAnsiTheme="majorHAnsi" w:cstheme="majorHAnsi"/>
          <w:bCs/>
          <w:color w:val="000000" w:themeColor="text1"/>
          <w:sz w:val="24"/>
          <w:szCs w:val="24"/>
          <w:highlight w:val="yellow"/>
        </w:rPr>
        <w:t>[Add building and room number or note online via zoom]</w:t>
      </w:r>
    </w:p>
    <w:p w14:paraId="19453F6C" w14:textId="77777777" w:rsidR="006A6F1D" w:rsidRPr="00110EC6" w:rsidRDefault="006A6F1D" w:rsidP="002726BD">
      <w:pPr>
        <w:spacing w:after="0" w:line="288" w:lineRule="auto"/>
        <w:contextualSpacing/>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Credits/Length of Course: </w:t>
      </w:r>
    </w:p>
    <w:p w14:paraId="109EC1F8" w14:textId="0C979C57" w:rsidR="006A6F1D" w:rsidRPr="00110EC6" w:rsidRDefault="006A6F1D" w:rsidP="002726BD">
      <w:pPr>
        <w:spacing w:after="0" w:line="288" w:lineRule="auto"/>
        <w:contextualSpacing/>
        <w:rPr>
          <w:rFonts w:asciiTheme="majorHAnsi" w:hAnsiTheme="majorHAnsi" w:cstheme="majorHAnsi"/>
          <w:b/>
          <w:color w:val="000000" w:themeColor="text1"/>
          <w:sz w:val="24"/>
          <w:szCs w:val="24"/>
        </w:rPr>
      </w:pPr>
      <w:r w:rsidRPr="00110EC6">
        <w:rPr>
          <w:rFonts w:asciiTheme="majorHAnsi" w:hAnsiTheme="majorHAnsi" w:cstheme="majorHAnsi"/>
          <w:b/>
          <w:color w:val="000000" w:themeColor="text1"/>
          <w:sz w:val="24"/>
          <w:szCs w:val="24"/>
        </w:rPr>
        <w:t xml:space="preserve">Method of Delivery: </w:t>
      </w:r>
      <w:r w:rsidRPr="00110EC6">
        <w:rPr>
          <w:rFonts w:asciiTheme="majorHAnsi" w:hAnsiTheme="majorHAnsi" w:cstheme="majorHAnsi"/>
          <w:bCs/>
          <w:color w:val="000000" w:themeColor="text1"/>
          <w:sz w:val="24"/>
          <w:szCs w:val="24"/>
          <w:highlight w:val="yellow"/>
        </w:rPr>
        <w:t xml:space="preserve">[Note: </w:t>
      </w:r>
      <w:r w:rsidR="00247C5B">
        <w:rPr>
          <w:rFonts w:asciiTheme="majorHAnsi" w:hAnsiTheme="majorHAnsi" w:cstheme="majorHAnsi"/>
          <w:bCs/>
          <w:color w:val="000000" w:themeColor="text1"/>
          <w:sz w:val="24"/>
          <w:szCs w:val="24"/>
          <w:highlight w:val="yellow"/>
        </w:rPr>
        <w:t>In-person</w:t>
      </w:r>
      <w:r w:rsidRPr="00110EC6">
        <w:rPr>
          <w:rFonts w:asciiTheme="majorHAnsi" w:hAnsiTheme="majorHAnsi" w:cstheme="majorHAnsi"/>
          <w:bCs/>
          <w:color w:val="000000" w:themeColor="text1"/>
          <w:sz w:val="24"/>
          <w:szCs w:val="24"/>
          <w:highlight w:val="yellow"/>
        </w:rPr>
        <w:t>/hybrid/online]</w:t>
      </w:r>
    </w:p>
    <w:p w14:paraId="3583EF42" w14:textId="77777777" w:rsidR="006A6F1D" w:rsidRPr="00196F5E" w:rsidRDefault="006A6F1D" w:rsidP="002726BD">
      <w:pPr>
        <w:spacing w:after="0" w:line="288" w:lineRule="auto"/>
        <w:contextualSpacing/>
        <w:rPr>
          <w:rFonts w:cstheme="minorHAnsi"/>
          <w:color w:val="000000" w:themeColor="text1"/>
        </w:rPr>
      </w:pPr>
      <w:r w:rsidRPr="00110EC6">
        <w:rPr>
          <w:rFonts w:asciiTheme="majorHAnsi" w:hAnsiTheme="majorHAnsi" w:cstheme="majorHAnsi"/>
          <w:b/>
          <w:color w:val="000000" w:themeColor="text1"/>
          <w:sz w:val="24"/>
          <w:szCs w:val="24"/>
        </w:rPr>
        <w:t>Prerequisites:</w:t>
      </w:r>
      <w:r w:rsidRPr="00196F5E">
        <w:rPr>
          <w:rFonts w:cstheme="minorHAnsi"/>
          <w:b/>
          <w:color w:val="000000" w:themeColor="text1"/>
        </w:rPr>
        <w:t xml:space="preserve"> </w:t>
      </w:r>
      <w:r w:rsidRPr="00196F5E">
        <w:rPr>
          <w:rFonts w:cstheme="minorHAnsi"/>
          <w:color w:val="000000" w:themeColor="text1"/>
        </w:rPr>
        <w:t>__________________________________________________________________________</w:t>
      </w:r>
    </w:p>
    <w:p w14:paraId="217E783E" w14:textId="77777777" w:rsidR="006A6F1D" w:rsidRPr="00196F5E" w:rsidRDefault="006A6F1D" w:rsidP="006A6F1D">
      <w:pPr>
        <w:contextualSpacing/>
        <w:rPr>
          <w:rFonts w:cstheme="minorHAnsi"/>
          <w:color w:val="C00000"/>
        </w:rPr>
      </w:pPr>
    </w:p>
    <w:p w14:paraId="0BD79E05" w14:textId="77777777" w:rsidR="006A6F1D" w:rsidRPr="002726BD" w:rsidRDefault="006A6F1D" w:rsidP="002726BD">
      <w:pPr>
        <w:spacing w:before="120" w:after="120" w:line="240" w:lineRule="auto"/>
        <w:jc w:val="center"/>
        <w:rPr>
          <w:rFonts w:asciiTheme="majorHAnsi" w:hAnsiTheme="majorHAnsi" w:cstheme="majorHAnsi"/>
          <w:b/>
          <w:color w:val="922247"/>
          <w:sz w:val="24"/>
          <w:szCs w:val="24"/>
        </w:rPr>
      </w:pPr>
      <w:r w:rsidRPr="002726BD">
        <w:rPr>
          <w:rFonts w:asciiTheme="majorHAnsi" w:hAnsiTheme="majorHAnsi" w:cstheme="majorHAnsi"/>
          <w:b/>
          <w:color w:val="922247"/>
          <w:sz w:val="24"/>
          <w:szCs w:val="24"/>
        </w:rPr>
        <w:t>SCHOOL OF SOCIAL WORK MISSION &amp; IDENTITY STATEMENT</w:t>
      </w:r>
    </w:p>
    <w:p w14:paraId="4D45952D" w14:textId="000A99A2" w:rsidR="006A6F1D" w:rsidRPr="002726BD" w:rsidRDefault="006A6F1D" w:rsidP="002726BD">
      <w:pPr>
        <w:spacing w:before="120" w:after="120" w:line="240" w:lineRule="auto"/>
        <w:rPr>
          <w:rFonts w:asciiTheme="majorHAnsi" w:hAnsiTheme="majorHAnsi" w:cstheme="majorHAnsi"/>
        </w:rPr>
      </w:pPr>
      <w:r w:rsidRPr="002726BD">
        <w:rPr>
          <w:rFonts w:asciiTheme="majorHAnsi" w:hAnsiTheme="majorHAnsi" w:cstheme="majorHAnsi"/>
        </w:rPr>
        <w:t xml:space="preserve">Loyola University Chicago School of Social Work provides transformative education for practice-informed social work. The </w:t>
      </w:r>
      <w:r w:rsidR="00110EC6" w:rsidRPr="002726BD">
        <w:rPr>
          <w:rFonts w:asciiTheme="majorHAnsi" w:hAnsiTheme="majorHAnsi" w:cstheme="majorHAnsi"/>
        </w:rPr>
        <w:t>school</w:t>
      </w:r>
      <w:r w:rsidRPr="002726BD">
        <w:rPr>
          <w:rFonts w:asciiTheme="majorHAnsi" w:hAnsiTheme="majorHAnsi" w:cstheme="majorHAnsi"/>
        </w:rPr>
        <w:t xml:space="preserve">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178AF4D" w14:textId="52C11F03" w:rsidR="006A6F1D" w:rsidRPr="002726BD" w:rsidRDefault="006A6F1D" w:rsidP="002726BD">
      <w:pPr>
        <w:spacing w:before="120" w:after="120" w:line="240" w:lineRule="auto"/>
        <w:rPr>
          <w:rFonts w:asciiTheme="majorHAnsi" w:hAnsiTheme="majorHAnsi" w:cstheme="majorHAnsi"/>
          <w:b/>
          <w:color w:val="922247"/>
          <w:sz w:val="24"/>
          <w:szCs w:val="24"/>
        </w:rPr>
      </w:pPr>
      <w:r w:rsidRPr="002726BD">
        <w:rPr>
          <w:rFonts w:asciiTheme="majorHAnsi" w:hAnsiTheme="majorHAnsi" w:cstheme="majorHAnsi"/>
          <w:b/>
          <w:color w:val="922247"/>
          <w:sz w:val="24"/>
          <w:szCs w:val="24"/>
        </w:rPr>
        <w:t>C</w:t>
      </w:r>
      <w:r w:rsidR="002726BD">
        <w:rPr>
          <w:rFonts w:asciiTheme="majorHAnsi" w:hAnsiTheme="majorHAnsi" w:cstheme="majorHAnsi"/>
          <w:b/>
          <w:color w:val="922247"/>
          <w:sz w:val="24"/>
          <w:szCs w:val="24"/>
        </w:rPr>
        <w:t>ourse Description</w:t>
      </w:r>
    </w:p>
    <w:p w14:paraId="5CD7C9FE" w14:textId="1138C9D0" w:rsidR="006A6F1D" w:rsidRPr="002726BD" w:rsidRDefault="00143489" w:rsidP="002726BD">
      <w:pPr>
        <w:spacing w:before="120" w:after="120" w:line="240" w:lineRule="auto"/>
        <w:rPr>
          <w:rFonts w:asciiTheme="majorHAnsi" w:eastAsia="Times New Roman" w:hAnsiTheme="majorHAnsi" w:cstheme="majorHAnsi"/>
        </w:rPr>
      </w:pPr>
      <w:r w:rsidRPr="002726BD">
        <w:rPr>
          <w:rFonts w:asciiTheme="majorHAnsi" w:eastAsia="Times New Roman" w:hAnsiTheme="majorHAnsi" w:cstheme="majorHAnsi"/>
          <w:color w:val="000000"/>
        </w:rPr>
        <w:t xml:space="preserve">The aim of this course is to teach students to conduct a strengths-based and contextual assessment of client concerns. Students will learn to conduct a culturally informed </w:t>
      </w:r>
      <w:r w:rsidR="00247C5B">
        <w:rPr>
          <w:rFonts w:asciiTheme="majorHAnsi" w:eastAsia="Times New Roman" w:hAnsiTheme="majorHAnsi" w:cstheme="majorHAnsi"/>
          <w:color w:val="000000"/>
        </w:rPr>
        <w:t>biopsychosocial spiritual</w:t>
      </w:r>
      <w:r w:rsidRPr="002726BD">
        <w:rPr>
          <w:rFonts w:asciiTheme="majorHAnsi" w:eastAsia="Times New Roman" w:hAnsiTheme="majorHAnsi" w:cstheme="majorHAnsi"/>
          <w:color w:val="000000"/>
        </w:rPr>
        <w:t xml:space="preserve"> assessment in which they gather information about presenting concerns from the perspective of clients and collateral sources. As part of this process, students will learn to both critique and use the DSM-5, ICD-10</w:t>
      </w:r>
      <w:r w:rsidR="00247C5B">
        <w:rPr>
          <w:rFonts w:asciiTheme="majorHAnsi" w:eastAsia="Times New Roman" w:hAnsiTheme="majorHAnsi" w:cstheme="majorHAnsi"/>
          <w:color w:val="000000"/>
        </w:rPr>
        <w:t>,</w:t>
      </w:r>
      <w:r w:rsidRPr="002726BD">
        <w:rPr>
          <w:rFonts w:asciiTheme="majorHAnsi" w:eastAsia="Times New Roman" w:hAnsiTheme="majorHAnsi" w:cstheme="majorHAnsi"/>
          <w:color w:val="000000"/>
        </w:rPr>
        <w:t xml:space="preserve"> and other diagnostic models to conceptualize client concerns, communicate with other professionals, and critically examine research related to presenting concerns. Course content will be considered through an anti-racist, anti-oppressive lens, exploring the ways in which diagnostic systems have been used to oppress historically marginalized groups and individuals, including the implications of this context for specific client systems. Students will also be introduced </w:t>
      </w:r>
      <w:r w:rsidRPr="002726BD">
        <w:rPr>
          <w:rFonts w:asciiTheme="majorHAnsi" w:eastAsia="Times New Roman" w:hAnsiTheme="majorHAnsi" w:cstheme="majorHAnsi"/>
          <w:color w:val="000000"/>
        </w:rPr>
        <w:lastRenderedPageBreak/>
        <w:t>to medications used to treat mental health conditions and the role of social workers in discussing medications with clients as part of a client's treatment team.</w:t>
      </w:r>
    </w:p>
    <w:p w14:paraId="5D6D0A46" w14:textId="77777777" w:rsidR="006A6F1D" w:rsidRPr="002726BD" w:rsidRDefault="006A6F1D" w:rsidP="006A6F1D">
      <w:pPr>
        <w:rPr>
          <w:rFonts w:asciiTheme="majorHAnsi" w:hAnsiTheme="majorHAnsi" w:cstheme="majorHAnsi"/>
          <w:b/>
          <w:color w:val="922247"/>
          <w:sz w:val="24"/>
          <w:szCs w:val="24"/>
        </w:rPr>
      </w:pPr>
      <w:r w:rsidRPr="002726BD">
        <w:rPr>
          <w:rFonts w:asciiTheme="majorHAnsi" w:hAnsiTheme="majorHAnsi" w:cstheme="majorHAnsi"/>
          <w:b/>
          <w:color w:val="922247"/>
          <w:sz w:val="24"/>
          <w:szCs w:val="24"/>
        </w:rPr>
        <w:t>Learning Objectives &amp; EPAS Related Competencies*</w:t>
      </w:r>
    </w:p>
    <w:p w14:paraId="696FEBB9" w14:textId="41C589FA" w:rsidR="006A6F1D" w:rsidRDefault="006A6F1D" w:rsidP="00110EC6">
      <w:pPr>
        <w:rPr>
          <w:rFonts w:asciiTheme="majorHAnsi" w:hAnsiTheme="majorHAnsi" w:cstheme="majorHAnsi"/>
        </w:rPr>
      </w:pPr>
      <w:r w:rsidRPr="00B03B77">
        <w:rPr>
          <w:rFonts w:asciiTheme="majorHAnsi" w:hAnsiTheme="majorHAnsi" w:cstheme="majorHAnsi"/>
        </w:rPr>
        <w:t xml:space="preserve">*Framed by the Council on Social Work Education’s Educational Policy and Accreditation Standards (EPAS) </w:t>
      </w:r>
    </w:p>
    <w:p w14:paraId="245A13C7" w14:textId="3556AE8B" w:rsidR="00B03B77" w:rsidRPr="00263D57" w:rsidRDefault="00B03B77" w:rsidP="00B03B77">
      <w:pPr>
        <w:widowControl w:val="0"/>
        <w:spacing w:before="120" w:after="120" w:line="240" w:lineRule="auto"/>
        <w:ind w:left="144"/>
        <w:rPr>
          <w:rFonts w:ascii="Calibri Light" w:eastAsiaTheme="minorEastAsia" w:hAnsi="Calibri Light" w:cs="Calibri Light"/>
        </w:rPr>
      </w:pPr>
      <w:r w:rsidRPr="0034519C">
        <w:rPr>
          <w:rFonts w:ascii="Calibri Light" w:eastAsiaTheme="minorEastAsia" w:hAnsi="Calibri Light" w:cs="Calibri Light"/>
          <w:b/>
          <w:bCs/>
          <w:color w:val="272727"/>
        </w:rPr>
        <w:t>Competency</w:t>
      </w:r>
      <w:r>
        <w:rPr>
          <w:rFonts w:ascii="Calibri Light" w:eastAsiaTheme="minorEastAsia" w:hAnsi="Calibri Light" w:cs="Calibri Light"/>
          <w:b/>
          <w:bCs/>
          <w:color w:val="272727"/>
        </w:rPr>
        <w:t xml:space="preserve"> </w:t>
      </w:r>
      <w:r w:rsidRPr="00B03B77">
        <w:rPr>
          <w:rFonts w:ascii="Calibri Light" w:eastAsiaTheme="minorEastAsia" w:hAnsi="Calibri Light" w:cs="Calibri Light"/>
          <w:b/>
          <w:bCs/>
          <w:color w:val="272727"/>
        </w:rPr>
        <w:t>2: Engage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B03B77" w:rsidRPr="00263D57" w14:paraId="584D6A61" w14:textId="77777777" w:rsidTr="00DB254C">
        <w:trPr>
          <w:cantSplit/>
          <w:trHeight w:val="346"/>
          <w:tblHeader/>
        </w:trPr>
        <w:tc>
          <w:tcPr>
            <w:tcW w:w="1800" w:type="dxa"/>
            <w:vAlign w:val="center"/>
          </w:tcPr>
          <w:p w14:paraId="2EB57B28"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sz w:val="24"/>
                <w:szCs w:val="24"/>
              </w:rPr>
              <w:t>Assignment</w:t>
            </w:r>
          </w:p>
        </w:tc>
        <w:tc>
          <w:tcPr>
            <w:tcW w:w="4865" w:type="dxa"/>
            <w:vAlign w:val="center"/>
          </w:tcPr>
          <w:p w14:paraId="03427A69" w14:textId="24B80793" w:rsidR="00B03B77" w:rsidRPr="00B03B77" w:rsidRDefault="00B03B77" w:rsidP="00DB254C">
            <w:pPr>
              <w:widowControl w:val="0"/>
              <w:rPr>
                <w:rFonts w:eastAsiaTheme="minorEastAsia" w:cstheme="minorHAnsi"/>
              </w:rPr>
            </w:pPr>
            <w:r w:rsidRPr="00B03B77">
              <w:rPr>
                <w:rFonts w:eastAsiaTheme="minorEastAsia" w:cstheme="minorHAnsi"/>
              </w:rPr>
              <w:t>Conceptualization of assessment</w:t>
            </w:r>
          </w:p>
        </w:tc>
        <w:tc>
          <w:tcPr>
            <w:tcW w:w="2790" w:type="dxa"/>
            <w:vAlign w:val="center"/>
          </w:tcPr>
          <w:p w14:paraId="285ECF8F" w14:textId="1651FCB6" w:rsidR="00B03B77" w:rsidRPr="00B03B77" w:rsidRDefault="00B03B77" w:rsidP="00DB254C">
            <w:pPr>
              <w:rPr>
                <w:rFonts w:eastAsia="Times New Roman" w:cstheme="minorHAnsi"/>
                <w:sz w:val="20"/>
                <w:szCs w:val="20"/>
                <w:highlight w:val="cyan"/>
              </w:rPr>
            </w:pPr>
            <w:r w:rsidRPr="00B03B77">
              <w:rPr>
                <w:rFonts w:eastAsia="Times New Roman" w:cstheme="minorHAnsi"/>
              </w:rPr>
              <w:t>K, S</w:t>
            </w:r>
          </w:p>
        </w:tc>
      </w:tr>
      <w:tr w:rsidR="00B03B77" w:rsidRPr="00263D57" w14:paraId="5B28C40D" w14:textId="77777777" w:rsidTr="00DB254C">
        <w:trPr>
          <w:cantSplit/>
          <w:trHeight w:val="335"/>
          <w:tblHeader/>
        </w:trPr>
        <w:tc>
          <w:tcPr>
            <w:tcW w:w="1800" w:type="dxa"/>
            <w:vAlign w:val="center"/>
          </w:tcPr>
          <w:p w14:paraId="2CF6FC62" w14:textId="77777777" w:rsidR="00B03B77" w:rsidRPr="00B03B77" w:rsidRDefault="00B03B77" w:rsidP="00DB254C">
            <w:pPr>
              <w:widowControl w:val="0"/>
              <w:rPr>
                <w:rFonts w:asciiTheme="majorHAnsi" w:eastAsiaTheme="minorEastAsia" w:hAnsiTheme="majorHAnsi" w:cstheme="majorHAnsi"/>
                <w:b/>
                <w:bCs/>
              </w:rPr>
            </w:pPr>
            <w:r>
              <w:rPr>
                <w:rFonts w:asciiTheme="majorHAnsi" w:eastAsiaTheme="minorEastAsia" w:hAnsiTheme="majorHAnsi" w:cstheme="majorHAnsi"/>
                <w:b/>
                <w:bCs/>
                <w:sz w:val="24"/>
                <w:szCs w:val="24"/>
              </w:rPr>
              <w:t>Assignment</w:t>
            </w:r>
          </w:p>
        </w:tc>
        <w:tc>
          <w:tcPr>
            <w:tcW w:w="4865" w:type="dxa"/>
            <w:vAlign w:val="center"/>
          </w:tcPr>
          <w:p w14:paraId="1A3CF9B8" w14:textId="41977F80" w:rsidR="00B03B77" w:rsidRPr="00B03B77" w:rsidRDefault="00B03B77" w:rsidP="00DB254C">
            <w:pPr>
              <w:widowControl w:val="0"/>
              <w:rPr>
                <w:rFonts w:eastAsiaTheme="minorEastAsia" w:cstheme="minorHAnsi"/>
                <w:sz w:val="20"/>
                <w:szCs w:val="20"/>
              </w:rPr>
            </w:pPr>
            <w:r w:rsidRPr="00B03B77">
              <w:rPr>
                <w:rFonts w:eastAsiaTheme="minorEastAsia" w:cstheme="minorHAnsi"/>
              </w:rPr>
              <w:t>Weekly articles or chapters in modules 1, 8-13 on assessment and diagnosis with marginalized populations</w:t>
            </w:r>
          </w:p>
        </w:tc>
        <w:tc>
          <w:tcPr>
            <w:tcW w:w="2790" w:type="dxa"/>
            <w:vAlign w:val="center"/>
          </w:tcPr>
          <w:p w14:paraId="3044D193" w14:textId="613D84D2" w:rsidR="00B03B77" w:rsidRPr="00B03B77" w:rsidRDefault="00B03B77" w:rsidP="00DB254C">
            <w:pPr>
              <w:rPr>
                <w:rFonts w:eastAsia="Times New Roman" w:cstheme="minorHAnsi"/>
              </w:rPr>
            </w:pPr>
            <w:r w:rsidRPr="00B03B77">
              <w:rPr>
                <w:rFonts w:eastAsia="Times New Roman" w:cstheme="minorHAnsi"/>
              </w:rPr>
              <w:t>V</w:t>
            </w:r>
          </w:p>
        </w:tc>
      </w:tr>
    </w:tbl>
    <w:p w14:paraId="2F68E121" w14:textId="634B0A3B" w:rsidR="00B03B77" w:rsidRPr="00263D57" w:rsidRDefault="00B03B77" w:rsidP="00B03B7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Pr>
          <w:rFonts w:asciiTheme="majorHAnsi" w:eastAsiaTheme="minorEastAsia" w:hAnsiTheme="majorHAnsi" w:cstheme="majorHAnsi"/>
          <w:b/>
          <w:bCs/>
          <w:color w:val="272727"/>
        </w:rPr>
        <w:t xml:space="preserve"> </w:t>
      </w:r>
      <w:r w:rsidRPr="00B03B77">
        <w:rPr>
          <w:rFonts w:asciiTheme="majorHAnsi" w:eastAsiaTheme="minorEastAsia" w:hAnsiTheme="majorHAnsi" w:cstheme="majorHAnsi"/>
          <w:b/>
          <w:bCs/>
          <w:color w:val="272727"/>
        </w:rPr>
        <w:t>7: Assess individuals and families</w:t>
      </w:r>
      <w:r>
        <w:rPr>
          <w:rFonts w:asciiTheme="majorHAnsi" w:eastAsiaTheme="minorEastAsia" w:hAnsiTheme="majorHAnsi" w:cstheme="majorHAnsi"/>
          <w:b/>
          <w:bCs/>
          <w:color w:val="272727"/>
        </w:rPr>
        <w:t xml:space="preserve"> </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B03B77" w:rsidRPr="00263D57" w14:paraId="37E5384B" w14:textId="77777777" w:rsidTr="00DB254C">
        <w:trPr>
          <w:cantSplit/>
          <w:trHeight w:val="353"/>
          <w:tblHeader/>
        </w:trPr>
        <w:tc>
          <w:tcPr>
            <w:tcW w:w="1800" w:type="dxa"/>
            <w:vAlign w:val="center"/>
          </w:tcPr>
          <w:p w14:paraId="6591774B"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189A5CF4" w14:textId="46584466" w:rsidR="00B03B77" w:rsidRPr="00B03B77" w:rsidRDefault="00B03B77" w:rsidP="00DB254C">
            <w:pPr>
              <w:widowControl w:val="0"/>
              <w:rPr>
                <w:rFonts w:eastAsiaTheme="minorEastAsia" w:cstheme="minorHAnsi"/>
              </w:rPr>
            </w:pPr>
            <w:r w:rsidRPr="00B03B77">
              <w:rPr>
                <w:rFonts w:eastAsiaTheme="minorEastAsia" w:cstheme="minorHAnsi"/>
              </w:rPr>
              <w:t>Biopsychosocial assessment</w:t>
            </w:r>
          </w:p>
        </w:tc>
        <w:tc>
          <w:tcPr>
            <w:tcW w:w="2790" w:type="dxa"/>
            <w:vAlign w:val="center"/>
          </w:tcPr>
          <w:p w14:paraId="74ECB4E9" w14:textId="01060D8D" w:rsidR="00B03B77" w:rsidRPr="00B03B77" w:rsidRDefault="00B03B77" w:rsidP="00DB254C">
            <w:pPr>
              <w:rPr>
                <w:rFonts w:eastAsia="Times New Roman" w:cstheme="minorHAnsi"/>
              </w:rPr>
            </w:pPr>
            <w:r w:rsidRPr="00B03B77">
              <w:rPr>
                <w:rFonts w:eastAsia="Times New Roman" w:cstheme="minorHAnsi"/>
              </w:rPr>
              <w:t>K, S</w:t>
            </w:r>
          </w:p>
        </w:tc>
      </w:tr>
      <w:tr w:rsidR="00B03B77" w:rsidRPr="00263D57" w14:paraId="60642303" w14:textId="77777777" w:rsidTr="00DB254C">
        <w:trPr>
          <w:cantSplit/>
          <w:trHeight w:val="366"/>
          <w:tblHeader/>
        </w:trPr>
        <w:tc>
          <w:tcPr>
            <w:tcW w:w="1800" w:type="dxa"/>
            <w:vAlign w:val="center"/>
          </w:tcPr>
          <w:p w14:paraId="6FAD7394"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6C37E8E7" w14:textId="01A3E501" w:rsidR="00B03B77" w:rsidRPr="00B03B77" w:rsidRDefault="00B03B77" w:rsidP="00DB254C">
            <w:pPr>
              <w:widowControl w:val="0"/>
              <w:rPr>
                <w:rFonts w:eastAsiaTheme="minorEastAsia" w:cstheme="minorHAnsi"/>
              </w:rPr>
            </w:pPr>
            <w:r w:rsidRPr="00B03B77">
              <w:rPr>
                <w:rFonts w:eastAsiaTheme="minorEastAsia" w:cstheme="minorHAnsi"/>
              </w:rPr>
              <w:t>Final assignment</w:t>
            </w:r>
          </w:p>
        </w:tc>
        <w:tc>
          <w:tcPr>
            <w:tcW w:w="2790" w:type="dxa"/>
            <w:vAlign w:val="center"/>
          </w:tcPr>
          <w:p w14:paraId="37EED4BD" w14:textId="0CC9D29B" w:rsidR="00B03B77" w:rsidRPr="00B03B77" w:rsidRDefault="00B03B77" w:rsidP="00DB254C">
            <w:pPr>
              <w:rPr>
                <w:rFonts w:eastAsia="Times New Roman" w:cstheme="minorHAnsi"/>
              </w:rPr>
            </w:pPr>
            <w:r w:rsidRPr="00B03B77">
              <w:rPr>
                <w:rFonts w:eastAsia="Times New Roman" w:cstheme="minorHAnsi"/>
              </w:rPr>
              <w:t>K, S</w:t>
            </w:r>
          </w:p>
        </w:tc>
      </w:tr>
      <w:tr w:rsidR="00B03B77" w:rsidRPr="00263D57" w14:paraId="488ED8A6" w14:textId="77777777" w:rsidTr="00DB254C">
        <w:trPr>
          <w:cantSplit/>
          <w:trHeight w:val="353"/>
          <w:tblHeader/>
        </w:trPr>
        <w:tc>
          <w:tcPr>
            <w:tcW w:w="1800" w:type="dxa"/>
            <w:vAlign w:val="center"/>
          </w:tcPr>
          <w:p w14:paraId="7CA00772" w14:textId="77777777" w:rsidR="00B03B77" w:rsidRPr="00263D57" w:rsidRDefault="00B03B77" w:rsidP="00DB254C">
            <w:pPr>
              <w:widowControl w:val="0"/>
              <w:rPr>
                <w:rFonts w:asciiTheme="majorHAnsi" w:eastAsiaTheme="minorEastAsia" w:hAnsiTheme="majorHAnsi" w:cstheme="majorHAnsi"/>
                <w:sz w:val="20"/>
                <w:szCs w:val="20"/>
              </w:rPr>
            </w:pPr>
            <w:r w:rsidRPr="00263D57">
              <w:rPr>
                <w:rFonts w:asciiTheme="majorHAnsi" w:eastAsiaTheme="minorEastAsia" w:hAnsiTheme="majorHAnsi" w:cstheme="majorHAnsi"/>
                <w:b/>
                <w:bCs/>
                <w:color w:val="272727"/>
                <w:sz w:val="24"/>
                <w:szCs w:val="24"/>
              </w:rPr>
              <w:t>Assignment</w:t>
            </w:r>
          </w:p>
        </w:tc>
        <w:tc>
          <w:tcPr>
            <w:tcW w:w="4865" w:type="dxa"/>
            <w:vAlign w:val="center"/>
          </w:tcPr>
          <w:p w14:paraId="224AAD0E" w14:textId="22999140" w:rsidR="00B03B77" w:rsidRPr="00B03B77" w:rsidRDefault="00B03B77" w:rsidP="00DB254C">
            <w:pPr>
              <w:widowControl w:val="0"/>
              <w:rPr>
                <w:rFonts w:eastAsiaTheme="minorEastAsia" w:cstheme="minorHAnsi"/>
              </w:rPr>
            </w:pPr>
            <w:r w:rsidRPr="00B03B77">
              <w:rPr>
                <w:rFonts w:eastAsiaTheme="minorEastAsia" w:cstheme="minorHAnsi"/>
              </w:rPr>
              <w:t>Quizzes</w:t>
            </w:r>
          </w:p>
        </w:tc>
        <w:tc>
          <w:tcPr>
            <w:tcW w:w="2790" w:type="dxa"/>
            <w:vAlign w:val="center"/>
          </w:tcPr>
          <w:p w14:paraId="25DDC9AE" w14:textId="5875CFC1" w:rsidR="00B03B77" w:rsidRPr="00B03B77" w:rsidRDefault="00B03B77" w:rsidP="00DB254C">
            <w:pPr>
              <w:rPr>
                <w:rFonts w:eastAsia="Times New Roman" w:cstheme="minorHAnsi"/>
              </w:rPr>
            </w:pPr>
            <w:r w:rsidRPr="00B03B77">
              <w:rPr>
                <w:rFonts w:eastAsia="Times New Roman" w:cstheme="minorHAnsi"/>
              </w:rPr>
              <w:t>K</w:t>
            </w:r>
          </w:p>
        </w:tc>
      </w:tr>
    </w:tbl>
    <w:p w14:paraId="1D2A3125" w14:textId="77777777" w:rsidR="006A6F1D" w:rsidRPr="00196F5E" w:rsidRDefault="006A6F1D" w:rsidP="006A6F1D">
      <w:pPr>
        <w:rPr>
          <w:rFonts w:cstheme="minorHAnsi"/>
          <w:color w:val="C00000"/>
        </w:rPr>
      </w:pPr>
    </w:p>
    <w:p w14:paraId="76AC1EA5" w14:textId="341A76AF" w:rsidR="006A6F1D" w:rsidRPr="0055216A" w:rsidRDefault="00AA155A" w:rsidP="006A6F1D">
      <w:pPr>
        <w:spacing w:after="120"/>
        <w:rPr>
          <w:rFonts w:asciiTheme="majorHAnsi" w:hAnsiTheme="majorHAnsi" w:cstheme="majorHAnsi"/>
          <w:b/>
          <w:color w:val="922247"/>
          <w:sz w:val="24"/>
          <w:szCs w:val="24"/>
        </w:rPr>
      </w:pPr>
      <w:r>
        <w:rPr>
          <w:rFonts w:asciiTheme="majorHAnsi" w:hAnsiTheme="majorHAnsi" w:cstheme="majorHAnsi"/>
          <w:b/>
          <w:color w:val="922247"/>
          <w:sz w:val="24"/>
          <w:szCs w:val="24"/>
        </w:rPr>
        <w:t>METHODS OF INSTRUCTION</w:t>
      </w:r>
    </w:p>
    <w:p w14:paraId="4420A7B6" w14:textId="77777777" w:rsidR="006A6F1D" w:rsidRPr="0055216A" w:rsidRDefault="006A6F1D" w:rsidP="006A6F1D">
      <w:pPr>
        <w:spacing w:after="120"/>
        <w:rPr>
          <w:rFonts w:asciiTheme="majorHAnsi" w:hAnsiTheme="majorHAnsi" w:cstheme="majorHAnsi"/>
          <w:b/>
          <w:spacing w:val="6"/>
        </w:rPr>
      </w:pPr>
      <w:r w:rsidRPr="0055216A">
        <w:rPr>
          <w:rFonts w:asciiTheme="majorHAnsi" w:hAnsiTheme="majorHAnsi" w:cstheme="majorHAnsi"/>
          <w:b/>
          <w:spacing w:val="6"/>
        </w:rPr>
        <w:t>Sakai</w:t>
      </w:r>
    </w:p>
    <w:p w14:paraId="33CED00D" w14:textId="38AD3E4B" w:rsidR="006A6F1D" w:rsidRPr="0055216A" w:rsidRDefault="006A6F1D" w:rsidP="0055216A">
      <w:pPr>
        <w:spacing w:after="0" w:line="240" w:lineRule="auto"/>
        <w:ind w:left="144"/>
        <w:rPr>
          <w:rFonts w:asciiTheme="majorHAnsi" w:hAnsiTheme="majorHAnsi" w:cstheme="majorHAnsi"/>
          <w:spacing w:val="6"/>
        </w:rPr>
      </w:pPr>
      <w:r w:rsidRPr="0055216A">
        <w:rPr>
          <w:rFonts w:asciiTheme="majorHAnsi" w:hAnsiTheme="majorHAnsi" w:cstheme="majorHAnsi"/>
          <w:spacing w:val="6"/>
        </w:rPr>
        <w:t>This course will be conducted [</w:t>
      </w:r>
      <w:r w:rsidRPr="0055216A">
        <w:rPr>
          <w:rFonts w:asciiTheme="majorHAnsi" w:hAnsiTheme="majorHAnsi" w:cstheme="majorHAnsi"/>
          <w:spacing w:val="6"/>
          <w:highlight w:val="yellow"/>
        </w:rPr>
        <w:t>in person/online (synchronous or asynchronous)/hybrid</w:t>
      </w:r>
      <w:r w:rsidRPr="0055216A">
        <w:rPr>
          <w:rFonts w:asciiTheme="majorHAnsi" w:hAnsiTheme="majorHAnsi" w:cstheme="majorHAnsi"/>
          <w:spacing w:val="6"/>
        </w:rPr>
        <w:t>] with content available via Sakai. Sakai is the learning platform used at Loyola University Chicago. The platform offers a variety of tools that allow students and instructors to communicate, turn in assignments, participate in discussions, provide/receive feedback</w:t>
      </w:r>
      <w:r w:rsidR="00247C5B">
        <w:rPr>
          <w:rFonts w:asciiTheme="majorHAnsi" w:hAnsiTheme="majorHAnsi" w:cstheme="majorHAnsi"/>
          <w:spacing w:val="6"/>
        </w:rPr>
        <w:t>,</w:t>
      </w:r>
      <w:r w:rsidRPr="0055216A">
        <w:rPr>
          <w:rFonts w:asciiTheme="majorHAnsi" w:hAnsiTheme="majorHAnsi" w:cstheme="majorHAnsi"/>
          <w:spacing w:val="6"/>
        </w:rPr>
        <w:t xml:space="preserve"> and track </w:t>
      </w:r>
      <w:r w:rsidR="00247C5B">
        <w:rPr>
          <w:rFonts w:asciiTheme="majorHAnsi" w:hAnsiTheme="majorHAnsi" w:cstheme="majorHAnsi"/>
          <w:spacing w:val="6"/>
        </w:rPr>
        <w:t>students’</w:t>
      </w:r>
      <w:r w:rsidRPr="0055216A">
        <w:rPr>
          <w:rFonts w:asciiTheme="majorHAnsi" w:hAnsiTheme="majorHAnsi" w:cstheme="majorHAnsi"/>
          <w:spacing w:val="6"/>
        </w:rPr>
        <w:t xml:space="preserve"> grades and progress. Make sure to do the following before the first day of the semester:</w:t>
      </w:r>
    </w:p>
    <w:p w14:paraId="201061E2" w14:textId="77777777" w:rsidR="006A6F1D" w:rsidRPr="0055216A" w:rsidRDefault="006A6F1D" w:rsidP="0055216A">
      <w:pPr>
        <w:numPr>
          <w:ilvl w:val="0"/>
          <w:numId w:val="4"/>
        </w:numPr>
        <w:spacing w:after="0" w:line="240" w:lineRule="auto"/>
        <w:ind w:left="1080"/>
        <w:contextualSpacing/>
        <w:rPr>
          <w:rFonts w:asciiTheme="majorHAnsi" w:hAnsiTheme="majorHAnsi" w:cstheme="majorHAnsi"/>
          <w:spacing w:val="6"/>
        </w:rPr>
      </w:pPr>
      <w:r w:rsidRPr="0055216A">
        <w:rPr>
          <w:rFonts w:asciiTheme="majorHAnsi" w:hAnsiTheme="majorHAnsi" w:cstheme="majorHAnsi"/>
          <w:spacing w:val="6"/>
        </w:rPr>
        <w:t>Verify that your credentials to access the course are working properly</w:t>
      </w:r>
    </w:p>
    <w:p w14:paraId="2F87E8CE" w14:textId="77777777" w:rsidR="006A6F1D" w:rsidRPr="0055216A" w:rsidRDefault="006A6F1D" w:rsidP="0055216A">
      <w:pPr>
        <w:numPr>
          <w:ilvl w:val="0"/>
          <w:numId w:val="4"/>
        </w:numPr>
        <w:spacing w:after="0" w:line="240" w:lineRule="auto"/>
        <w:ind w:left="1080"/>
        <w:contextualSpacing/>
        <w:rPr>
          <w:rFonts w:asciiTheme="majorHAnsi" w:hAnsiTheme="majorHAnsi" w:cstheme="majorHAnsi"/>
          <w:spacing w:val="6"/>
        </w:rPr>
      </w:pPr>
      <w:r w:rsidRPr="0055216A">
        <w:rPr>
          <w:rFonts w:asciiTheme="majorHAnsi" w:hAnsiTheme="majorHAnsi" w:cstheme="majorHAnsi"/>
          <w:spacing w:val="6"/>
        </w:rPr>
        <w:t>Locate and access the course within Sakai</w:t>
      </w:r>
    </w:p>
    <w:p w14:paraId="0BFAE82D" w14:textId="77777777" w:rsidR="006A6F1D" w:rsidRPr="0055216A" w:rsidRDefault="006A6F1D" w:rsidP="0055216A">
      <w:pPr>
        <w:numPr>
          <w:ilvl w:val="0"/>
          <w:numId w:val="4"/>
        </w:numPr>
        <w:spacing w:after="0" w:line="240" w:lineRule="auto"/>
        <w:ind w:left="1080"/>
        <w:contextualSpacing/>
        <w:rPr>
          <w:rFonts w:asciiTheme="majorHAnsi" w:hAnsiTheme="majorHAnsi" w:cstheme="majorHAnsi"/>
          <w:spacing w:val="6"/>
        </w:rPr>
      </w:pPr>
      <w:r w:rsidRPr="0055216A">
        <w:rPr>
          <w:rFonts w:asciiTheme="majorHAnsi" w:hAnsiTheme="majorHAnsi" w:cstheme="majorHAnsi"/>
          <w:spacing w:val="6"/>
        </w:rPr>
        <w:t>Familiarize yourself with the Sakai tools</w:t>
      </w:r>
    </w:p>
    <w:p w14:paraId="33A9C8CF" w14:textId="77777777" w:rsidR="006A6F1D" w:rsidRPr="00110EC6" w:rsidRDefault="006A6F1D" w:rsidP="006A6F1D">
      <w:pPr>
        <w:spacing w:after="120"/>
        <w:contextualSpacing/>
        <w:rPr>
          <w:rFonts w:asciiTheme="majorHAnsi" w:hAnsiTheme="majorHAnsi" w:cstheme="majorHAnsi"/>
          <w:b/>
          <w:sz w:val="24"/>
          <w:szCs w:val="24"/>
        </w:rPr>
      </w:pPr>
    </w:p>
    <w:p w14:paraId="13898B76" w14:textId="77777777" w:rsidR="006A6F1D" w:rsidRPr="0055216A" w:rsidRDefault="006A6F1D" w:rsidP="006A6F1D">
      <w:pPr>
        <w:spacing w:after="120"/>
        <w:contextualSpacing/>
        <w:rPr>
          <w:rFonts w:asciiTheme="majorHAnsi" w:hAnsiTheme="majorHAnsi" w:cstheme="majorHAnsi"/>
          <w:b/>
        </w:rPr>
      </w:pPr>
      <w:r w:rsidRPr="0055216A">
        <w:rPr>
          <w:rFonts w:asciiTheme="majorHAnsi" w:hAnsiTheme="majorHAnsi" w:cstheme="majorHAnsi"/>
          <w:b/>
        </w:rPr>
        <w:t>Minimum Technical Requirements</w:t>
      </w:r>
    </w:p>
    <w:p w14:paraId="1EB7F4AD" w14:textId="77777777" w:rsidR="006A6F1D" w:rsidRPr="0055216A" w:rsidRDefault="006A6F1D" w:rsidP="00110EC6">
      <w:pPr>
        <w:spacing w:after="0" w:line="240" w:lineRule="auto"/>
        <w:ind w:left="144"/>
        <w:rPr>
          <w:rFonts w:asciiTheme="majorHAnsi" w:hAnsiTheme="majorHAnsi" w:cstheme="majorHAnsi"/>
        </w:rPr>
      </w:pPr>
      <w:r w:rsidRPr="0055216A">
        <w:rPr>
          <w:rFonts w:asciiTheme="majorHAnsi" w:hAnsiTheme="majorHAnsi" w:cstheme="majorHAnsi"/>
        </w:rPr>
        <w:t xml:space="preserve">The course is delivered </w:t>
      </w:r>
      <w:r w:rsidRPr="0055216A">
        <w:rPr>
          <w:rFonts w:asciiTheme="majorHAnsi" w:hAnsiTheme="majorHAnsi" w:cstheme="majorHAnsi"/>
          <w:spacing w:val="6"/>
        </w:rPr>
        <w:t>[</w:t>
      </w:r>
      <w:r w:rsidRPr="0055216A">
        <w:rPr>
          <w:rFonts w:asciiTheme="majorHAnsi" w:hAnsiTheme="majorHAnsi" w:cstheme="majorHAnsi"/>
          <w:spacing w:val="6"/>
          <w:highlight w:val="yellow"/>
        </w:rPr>
        <w:t>in person/online/hybrid</w:t>
      </w:r>
      <w:r w:rsidRPr="0055216A">
        <w:rPr>
          <w:rFonts w:asciiTheme="majorHAnsi" w:hAnsiTheme="majorHAnsi" w:cstheme="majorHAnsi"/>
          <w:spacing w:val="6"/>
        </w:rPr>
        <w:t>]</w:t>
      </w:r>
      <w:r w:rsidRPr="0055216A">
        <w:rPr>
          <w:rFonts w:asciiTheme="majorHAnsi" w:hAnsiTheme="majorHAnsi" w:cstheme="majorHAnsi"/>
        </w:rPr>
        <w:t xml:space="preserve">. Students are expected to have basic knowledge and command of a computer/tablet and be familiar with the following software and tools: </w:t>
      </w:r>
    </w:p>
    <w:p w14:paraId="12325D47" w14:textId="390BCB70"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 xml:space="preserve">Web </w:t>
      </w:r>
      <w:r w:rsidR="00247C5B">
        <w:rPr>
          <w:rFonts w:asciiTheme="majorHAnsi" w:hAnsiTheme="majorHAnsi" w:cstheme="majorHAnsi"/>
        </w:rPr>
        <w:t>browsers</w:t>
      </w:r>
      <w:r w:rsidRPr="0055216A">
        <w:rPr>
          <w:rFonts w:asciiTheme="majorHAnsi" w:hAnsiTheme="majorHAnsi" w:cstheme="majorHAnsi"/>
        </w:rPr>
        <w:t xml:space="preserve"> such as Firefox. Toools such as VoiceThread work better with Firefox</w:t>
      </w:r>
    </w:p>
    <w:p w14:paraId="31312AC3" w14:textId="47B5881B"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 xml:space="preserve">Daily reliable </w:t>
      </w:r>
      <w:r w:rsidR="00247C5B">
        <w:rPr>
          <w:rFonts w:asciiTheme="majorHAnsi" w:hAnsiTheme="majorHAnsi" w:cstheme="majorHAnsi"/>
        </w:rPr>
        <w:t>high-speed</w:t>
      </w:r>
      <w:r w:rsidRPr="0055216A">
        <w:rPr>
          <w:rFonts w:asciiTheme="majorHAnsi" w:hAnsiTheme="majorHAnsi" w:cstheme="majorHAnsi"/>
        </w:rPr>
        <w:t xml:space="preserve"> internet access</w:t>
      </w:r>
    </w:p>
    <w:p w14:paraId="464236A2"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Access to an active e-mail account. Be sure to check your Loyola University e-mail regularly, including the Spam folder.</w:t>
      </w:r>
    </w:p>
    <w:p w14:paraId="7536BCBD"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Word processing program (Microsoft Word recommended)</w:t>
      </w:r>
    </w:p>
    <w:p w14:paraId="4FF3A156"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Antivirus software</w:t>
      </w:r>
    </w:p>
    <w:p w14:paraId="508131B0"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 xml:space="preserve">Adobe Acrobat </w:t>
      </w:r>
    </w:p>
    <w:p w14:paraId="7309549B" w14:textId="77777777" w:rsidR="006A6F1D" w:rsidRPr="0055216A" w:rsidRDefault="006A6F1D" w:rsidP="005A25D1">
      <w:pPr>
        <w:numPr>
          <w:ilvl w:val="0"/>
          <w:numId w:val="3"/>
        </w:numPr>
        <w:spacing w:after="0" w:line="240" w:lineRule="auto"/>
        <w:ind w:left="648"/>
        <w:rPr>
          <w:rFonts w:asciiTheme="majorHAnsi" w:hAnsiTheme="majorHAnsi" w:cstheme="majorHAnsi"/>
        </w:rPr>
      </w:pPr>
      <w:r w:rsidRPr="0055216A">
        <w:rPr>
          <w:rFonts w:asciiTheme="majorHAnsi" w:hAnsiTheme="majorHAnsi" w:cstheme="majorHAnsi"/>
        </w:rPr>
        <w:t>Access to a Windows, Chromebook, or Mac computer to complete assignments in the event your mobile device does not meet the minimum technical requirements.</w:t>
      </w:r>
    </w:p>
    <w:p w14:paraId="47FFAF4D" w14:textId="77777777" w:rsidR="006A6F1D" w:rsidRPr="00AA155A" w:rsidRDefault="006A6F1D" w:rsidP="00056477">
      <w:pPr>
        <w:spacing w:before="120" w:after="120" w:line="240" w:lineRule="auto"/>
        <w:rPr>
          <w:rFonts w:asciiTheme="majorHAnsi" w:hAnsiTheme="majorHAnsi" w:cstheme="majorHAnsi"/>
          <w:b/>
          <w:bCs/>
          <w:color w:val="922247"/>
          <w:sz w:val="24"/>
          <w:shd w:val="clear" w:color="auto" w:fill="FFFFFF"/>
        </w:rPr>
      </w:pPr>
      <w:r w:rsidRPr="00AA155A">
        <w:rPr>
          <w:rFonts w:asciiTheme="majorHAnsi" w:hAnsiTheme="majorHAnsi" w:cstheme="majorHAnsi"/>
          <w:b/>
          <w:bCs/>
          <w:color w:val="922247"/>
          <w:sz w:val="24"/>
          <w:shd w:val="clear" w:color="auto" w:fill="FFFFFF"/>
        </w:rPr>
        <w:t>POLICIES &amp; RESOURCES</w:t>
      </w:r>
    </w:p>
    <w:p w14:paraId="36F4F384" w14:textId="77777777" w:rsidR="006A6F1D" w:rsidRPr="0055216A" w:rsidRDefault="006A6F1D" w:rsidP="00B50AB5">
      <w:pPr>
        <w:spacing w:before="120" w:after="120" w:line="240" w:lineRule="auto"/>
        <w:rPr>
          <w:rFonts w:asciiTheme="majorHAnsi" w:hAnsiTheme="majorHAnsi" w:cstheme="majorHAnsi"/>
          <w:b/>
          <w:bCs/>
          <w:color w:val="212121"/>
          <w:shd w:val="clear" w:color="auto" w:fill="FFFFFF"/>
        </w:rPr>
      </w:pPr>
      <w:r w:rsidRPr="0055216A">
        <w:rPr>
          <w:rFonts w:asciiTheme="majorHAnsi" w:hAnsiTheme="majorHAnsi" w:cstheme="majorHAnsi"/>
          <w:b/>
          <w:bCs/>
          <w:color w:val="212121"/>
          <w:shd w:val="clear" w:color="auto" w:fill="FFFFFF"/>
        </w:rPr>
        <w:t>LUC SSW BSW/MSW Student Handbooks</w:t>
      </w:r>
    </w:p>
    <w:p w14:paraId="1777B300" w14:textId="2104C1AE" w:rsidR="006A6F1D" w:rsidRDefault="006A6F1D" w:rsidP="00B50AB5">
      <w:pPr>
        <w:spacing w:before="120" w:after="120" w:line="240" w:lineRule="auto"/>
        <w:ind w:left="144"/>
        <w:rPr>
          <w:rFonts w:asciiTheme="majorHAnsi" w:eastAsia="SimSun" w:hAnsiTheme="majorHAnsi" w:cstheme="majorHAnsi"/>
          <w:spacing w:val="6"/>
        </w:rPr>
      </w:pPr>
      <w:r w:rsidRPr="0055216A">
        <w:rPr>
          <w:rFonts w:asciiTheme="majorHAnsi" w:eastAsia="SimSun" w:hAnsiTheme="majorHAnsi" w:cstheme="majorHAnsi"/>
          <w:spacing w:val="6"/>
        </w:rPr>
        <w:t xml:space="preserve">Please familiarize yourself with all content in the </w:t>
      </w:r>
      <w:hyperlink r:id="rId9" w:history="1">
        <w:r w:rsidRPr="0055216A">
          <w:rPr>
            <w:rStyle w:val="Hyperlink"/>
            <w:rFonts w:asciiTheme="majorHAnsi" w:eastAsia="SimSun" w:hAnsiTheme="majorHAnsi" w:cstheme="majorHAnsi"/>
            <w:spacing w:val="6"/>
          </w:rPr>
          <w:t>LUC SSW BSW &amp; MSW Student Handbook</w:t>
        </w:r>
      </w:hyperlink>
      <w:r w:rsidRPr="0055216A">
        <w:rPr>
          <w:rStyle w:val="Hyperlink"/>
          <w:rFonts w:asciiTheme="majorHAnsi" w:eastAsia="SimSun" w:hAnsiTheme="majorHAnsi" w:cstheme="majorHAnsi"/>
          <w:spacing w:val="6"/>
        </w:rPr>
        <w:t>s</w:t>
      </w:r>
      <w:r w:rsidRPr="0055216A">
        <w:rPr>
          <w:rFonts w:asciiTheme="majorHAnsi" w:eastAsia="SimSun" w:hAnsiTheme="majorHAnsi" w:cstheme="majorHAnsi"/>
          <w:spacing w:val="6"/>
        </w:rPr>
        <w:t>. Additional key information is noted below.</w:t>
      </w:r>
    </w:p>
    <w:p w14:paraId="4E86FE23" w14:textId="296C2105" w:rsidR="00AA155A" w:rsidRDefault="00AA155A" w:rsidP="00B50AB5">
      <w:pPr>
        <w:spacing w:before="120" w:after="120" w:line="240" w:lineRule="auto"/>
        <w:ind w:left="144"/>
        <w:rPr>
          <w:rFonts w:asciiTheme="majorHAnsi" w:eastAsia="SimSun" w:hAnsiTheme="majorHAnsi" w:cstheme="majorHAnsi"/>
          <w:spacing w:val="6"/>
        </w:rPr>
      </w:pPr>
    </w:p>
    <w:p w14:paraId="78F7EE36" w14:textId="77777777" w:rsidR="00AA155A" w:rsidRDefault="00AA155A" w:rsidP="00AA155A">
      <w:pPr>
        <w:spacing w:after="0" w:line="240" w:lineRule="auto"/>
        <w:rPr>
          <w:rFonts w:asciiTheme="majorHAnsi" w:eastAsia="Times New Roman" w:hAnsiTheme="majorHAnsi" w:cstheme="majorHAnsi"/>
          <w:b/>
          <w:color w:val="000000"/>
        </w:rPr>
      </w:pPr>
      <w:r>
        <w:rPr>
          <w:rFonts w:asciiTheme="majorHAnsi" w:eastAsia="Times New Roman" w:hAnsiTheme="majorHAnsi" w:cstheme="majorHAnsi"/>
          <w:b/>
          <w:color w:val="000000"/>
        </w:rPr>
        <w:t>Attendance Policy</w:t>
      </w:r>
    </w:p>
    <w:p w14:paraId="5A7A78B0" w14:textId="77777777" w:rsidR="00AA155A" w:rsidRDefault="00AA155A" w:rsidP="00AA155A">
      <w:pPr>
        <w:spacing w:after="0" w:line="240" w:lineRule="auto"/>
        <w:rPr>
          <w:rFonts w:asciiTheme="majorHAnsi" w:eastAsia="Times New Roman" w:hAnsiTheme="majorHAnsi" w:cstheme="majorHAnsi"/>
          <w:color w:val="000000"/>
        </w:rPr>
      </w:pPr>
    </w:p>
    <w:p w14:paraId="343B7E3B" w14:textId="2774E782" w:rsidR="00AA155A" w:rsidRDefault="00AA155A" w:rsidP="00AA155A">
      <w:pPr>
        <w:spacing w:before="120" w:after="12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43A38BA5" w14:textId="77777777" w:rsidR="0055216A" w:rsidRPr="00CF0D90" w:rsidRDefault="0055216A" w:rsidP="00B50AB5">
      <w:pPr>
        <w:widowControl w:val="0"/>
        <w:spacing w:before="120" w:after="120" w:line="240" w:lineRule="auto"/>
        <w:jc w:val="both"/>
        <w:rPr>
          <w:rFonts w:ascii="Calibri Light" w:eastAsia="Times New Roman" w:hAnsi="Calibri Light" w:cs="Calibri Light"/>
          <w:b/>
          <w:bCs/>
          <w:iCs/>
          <w:color w:val="000000" w:themeColor="text1"/>
        </w:rPr>
      </w:pPr>
      <w:r w:rsidRPr="00CF0D90">
        <w:rPr>
          <w:rFonts w:ascii="Calibri Light" w:eastAsia="Times New Roman" w:hAnsi="Calibri Light" w:cs="Calibri Light"/>
          <w:b/>
          <w:iCs/>
          <w:color w:val="000000" w:themeColor="text1"/>
        </w:rPr>
        <w:t>Expectations and Resources for Students</w:t>
      </w:r>
    </w:p>
    <w:p w14:paraId="665901C6" w14:textId="77777777" w:rsidR="006042B5" w:rsidRDefault="0055216A" w:rsidP="006042B5">
      <w:pPr>
        <w:widowControl w:val="0"/>
        <w:spacing w:after="0" w:line="240" w:lineRule="auto"/>
        <w:ind w:left="144"/>
        <w:rPr>
          <w:rFonts w:ascii="Calibri Light" w:eastAsia="SimSun" w:hAnsi="Calibri Light" w:cs="Calibri Light"/>
          <w:spacing w:val="6"/>
        </w:rPr>
      </w:pPr>
      <w:r w:rsidRPr="006042B5">
        <w:rPr>
          <w:rFonts w:ascii="Calibri Light" w:eastAsia="Times New Roman" w:hAnsi="Calibri Light" w:cs="Calibri Light"/>
        </w:rPr>
        <w:t xml:space="preserve">Each student is expected to read and be familiar with the student handbook and refer to that document with any class concerns. </w:t>
      </w:r>
      <w:r w:rsidRPr="006042B5">
        <w:rPr>
          <w:rFonts w:ascii="Calibri Light" w:eastAsia="SimSun" w:hAnsi="Calibri Light" w:cs="Calibri Light"/>
          <w:spacing w:val="6"/>
        </w:rPr>
        <w:t xml:space="preserve">Please familiarize yourself with all content in the </w:t>
      </w:r>
      <w:hyperlink r:id="rId10" w:history="1">
        <w:r w:rsidRPr="006042B5">
          <w:rPr>
            <w:rFonts w:ascii="Calibri Light" w:eastAsia="SimSun" w:hAnsi="Calibri Light" w:cs="Calibri Light"/>
            <w:color w:val="0000FF"/>
            <w:spacing w:val="6"/>
            <w:u w:val="single"/>
          </w:rPr>
          <w:t>MSW Handbook</w:t>
        </w:r>
      </w:hyperlink>
      <w:r w:rsidRPr="006042B5">
        <w:rPr>
          <w:rFonts w:ascii="Calibri Light" w:eastAsia="SimSun" w:hAnsi="Calibri Light" w:cs="Calibri Light"/>
          <w:spacing w:val="6"/>
        </w:rPr>
        <w:t>.</w:t>
      </w:r>
    </w:p>
    <w:p w14:paraId="63BF7976" w14:textId="5A4A101D" w:rsidR="0055216A" w:rsidRPr="006042B5" w:rsidRDefault="0055216A" w:rsidP="006042B5">
      <w:pPr>
        <w:widowControl w:val="0"/>
        <w:spacing w:after="0" w:line="240" w:lineRule="auto"/>
        <w:ind w:left="144"/>
        <w:rPr>
          <w:rFonts w:ascii="Calibri Light" w:eastAsia="Times New Roman" w:hAnsi="Calibri Light" w:cs="Calibri Light"/>
          <w:b/>
          <w:bCs/>
          <w:iCs/>
          <w:color w:val="C00000"/>
        </w:rPr>
      </w:pPr>
      <w:r w:rsidRPr="006042B5">
        <w:rPr>
          <w:rFonts w:ascii="Calibri Light" w:eastAsia="Times New Roman" w:hAnsi="Calibri Light" w:cs="Calibri Light"/>
        </w:rPr>
        <w:t>The syllabus is a document that provides the framework, schedule, and Course Content/ Mutual Expectations of students and instructors for the course.  However, it is important to recognize that unforeseen circumstances lead to changes in assignments, reading, and assignment due dates, some aspects of the course may change.  Any modifications/updates/edits in the syllabus will be sent to students via Emails/Sakai if the syllabus is revised.  As a result, it is each student’s responsibility to check his or her LUC e-mail, mail folders, and the Sakai website regularly and multiple times during each week through the semester.</w:t>
      </w:r>
    </w:p>
    <w:p w14:paraId="661AC4D0" w14:textId="389F3D98" w:rsidR="006A6F1D" w:rsidRPr="0055216A" w:rsidRDefault="006A6F1D" w:rsidP="00B50AB5">
      <w:pPr>
        <w:spacing w:before="120" w:after="120" w:line="240" w:lineRule="auto"/>
        <w:rPr>
          <w:rFonts w:asciiTheme="majorHAnsi" w:hAnsiTheme="majorHAnsi" w:cstheme="majorHAnsi"/>
          <w:iCs/>
        </w:rPr>
      </w:pPr>
      <w:r w:rsidRPr="0055216A">
        <w:rPr>
          <w:rFonts w:asciiTheme="majorHAnsi" w:hAnsiTheme="majorHAnsi" w:cstheme="majorHAnsi"/>
          <w:b/>
          <w:iCs/>
        </w:rPr>
        <w:t>Students with Special Needs</w:t>
      </w:r>
      <w:r w:rsidR="0055216A" w:rsidRPr="0055216A">
        <w:rPr>
          <w:rFonts w:asciiTheme="majorHAnsi" w:hAnsiTheme="majorHAnsi" w:cstheme="majorHAnsi"/>
          <w:b/>
          <w:iCs/>
        </w:rPr>
        <w:t xml:space="preserve"> – Student Accessibility Center</w:t>
      </w:r>
    </w:p>
    <w:p w14:paraId="31781D93" w14:textId="50A8B99E" w:rsidR="006A6F1D" w:rsidRPr="0055216A" w:rsidRDefault="00B640CE" w:rsidP="00B50AB5">
      <w:pPr>
        <w:pStyle w:val="paragraph"/>
        <w:spacing w:before="120" w:beforeAutospacing="0" w:after="120" w:afterAutospacing="0"/>
        <w:ind w:left="187"/>
        <w:textAlignment w:val="baseline"/>
        <w:rPr>
          <w:rFonts w:asciiTheme="majorHAnsi" w:hAnsiTheme="majorHAnsi" w:cstheme="majorHAnsi"/>
          <w:sz w:val="22"/>
          <w:szCs w:val="22"/>
        </w:rPr>
      </w:pPr>
      <w:r w:rsidRPr="0055216A">
        <w:rPr>
          <w:rStyle w:val="normaltextrun"/>
          <w:rFonts w:asciiTheme="majorHAnsi" w:hAnsiTheme="majorHAnsi" w:cstheme="majorHAnsi"/>
          <w:color w:val="333333"/>
          <w:sz w:val="22"/>
          <w:szCs w:val="22"/>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w:t>
      </w:r>
      <w:r w:rsidR="00247C5B">
        <w:rPr>
          <w:rStyle w:val="normaltextrun"/>
          <w:rFonts w:asciiTheme="majorHAnsi" w:hAnsiTheme="majorHAnsi" w:cstheme="majorHAnsi"/>
          <w:color w:val="333333"/>
          <w:sz w:val="22"/>
          <w:szCs w:val="22"/>
        </w:rPr>
        <w:t>professors</w:t>
      </w:r>
      <w:r w:rsidRPr="0055216A">
        <w:rPr>
          <w:rStyle w:val="normaltextrun"/>
          <w:rFonts w:asciiTheme="majorHAnsi" w:hAnsiTheme="majorHAnsi" w:cstheme="majorHAnsi"/>
          <w:color w:val="333333"/>
          <w:sz w:val="22"/>
          <w:szCs w:val="22"/>
        </w:rPr>
        <w:t xml:space="preserve"> individually in order to discuss their accommodations. All information will remain confidential.  Please note that in this class, </w:t>
      </w:r>
      <w:r w:rsidR="00247C5B">
        <w:rPr>
          <w:rStyle w:val="normaltextrun"/>
          <w:rFonts w:asciiTheme="majorHAnsi" w:hAnsiTheme="majorHAnsi" w:cstheme="majorHAnsi"/>
          <w:color w:val="333333"/>
          <w:sz w:val="22"/>
          <w:szCs w:val="22"/>
        </w:rPr>
        <w:t xml:space="preserve">the </w:t>
      </w:r>
      <w:r w:rsidRPr="0055216A">
        <w:rPr>
          <w:rStyle w:val="normaltextrun"/>
          <w:rFonts w:asciiTheme="majorHAnsi" w:hAnsiTheme="majorHAnsi" w:cstheme="majorHAnsi"/>
          <w:color w:val="333333"/>
          <w:sz w:val="22"/>
          <w:szCs w:val="22"/>
        </w:rPr>
        <w:t>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1" w:tgtFrame="_blank" w:history="1">
        <w:r w:rsidRPr="0055216A">
          <w:rPr>
            <w:rStyle w:val="normaltextrun"/>
            <w:rFonts w:asciiTheme="majorHAnsi" w:hAnsiTheme="majorHAnsi" w:cstheme="majorHAnsi"/>
            <w:color w:val="680013"/>
            <w:sz w:val="22"/>
            <w:szCs w:val="22"/>
          </w:rPr>
          <w:t>SAC@luc.edu</w:t>
        </w:r>
      </w:hyperlink>
      <w:r w:rsidRPr="0055216A">
        <w:rPr>
          <w:rStyle w:val="normaltextrun"/>
          <w:rFonts w:asciiTheme="majorHAnsi" w:hAnsiTheme="majorHAnsi" w:cstheme="majorHAnsi"/>
          <w:color w:val="333333"/>
          <w:sz w:val="22"/>
          <w:szCs w:val="22"/>
        </w:rPr>
        <w:t>.</w:t>
      </w:r>
      <w:r w:rsidRPr="0055216A">
        <w:rPr>
          <w:rStyle w:val="eop"/>
          <w:rFonts w:asciiTheme="majorHAnsi" w:eastAsiaTheme="majorEastAsia" w:hAnsiTheme="majorHAnsi" w:cstheme="majorHAnsi"/>
          <w:color w:val="333333"/>
          <w:sz w:val="22"/>
          <w:szCs w:val="22"/>
        </w:rPr>
        <w:t> </w:t>
      </w:r>
    </w:p>
    <w:p w14:paraId="115FA694" w14:textId="09F5133D" w:rsidR="00C279B8"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hAnsiTheme="majorHAnsi" w:cstheme="majorHAnsi"/>
          <w:b/>
          <w:iCs/>
        </w:rPr>
      </w:pPr>
      <w:r w:rsidRPr="0055216A">
        <w:rPr>
          <w:rFonts w:asciiTheme="majorHAnsi" w:hAnsiTheme="majorHAnsi" w:cstheme="majorHAnsi"/>
          <w:b/>
          <w:iCs/>
        </w:rPr>
        <w:t>Respect for Diversity</w:t>
      </w:r>
    </w:p>
    <w:p w14:paraId="4518410A" w14:textId="14F43F7D" w:rsidR="006A6F1D"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55216A">
        <w:rPr>
          <w:rFonts w:asciiTheme="majorHAnsi"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2" w:history="1">
        <w:r w:rsidRPr="0055216A">
          <w:rPr>
            <w:rStyle w:val="Hyperlink"/>
            <w:rFonts w:asciiTheme="majorHAnsi" w:hAnsiTheme="majorHAnsi" w:cstheme="majorHAnsi"/>
          </w:rPr>
          <w:t>Respect for Diversity</w:t>
        </w:r>
      </w:hyperlink>
      <w:r w:rsidRPr="0055216A">
        <w:rPr>
          <w:rFonts w:asciiTheme="majorHAnsi" w:hAnsiTheme="majorHAnsi" w:cstheme="majorHAnsi"/>
        </w:rPr>
        <w:t xml:space="preserve"> for more information).</w:t>
      </w:r>
    </w:p>
    <w:p w14:paraId="4E83F379" w14:textId="77777777" w:rsidR="006A6F1D" w:rsidRPr="0055216A" w:rsidRDefault="006A6F1D" w:rsidP="00B50AB5">
      <w:pPr>
        <w:pStyle w:val="Default"/>
        <w:spacing w:before="120" w:after="120"/>
        <w:rPr>
          <w:rFonts w:asciiTheme="majorHAnsi" w:hAnsiTheme="majorHAnsi" w:cstheme="majorHAnsi"/>
          <w:sz w:val="22"/>
          <w:szCs w:val="22"/>
        </w:rPr>
      </w:pPr>
      <w:r w:rsidRPr="0055216A">
        <w:rPr>
          <w:rFonts w:asciiTheme="majorHAnsi" w:hAnsiTheme="majorHAnsi" w:cstheme="majorHAnsi"/>
          <w:b/>
          <w:bCs/>
          <w:sz w:val="22"/>
          <w:szCs w:val="22"/>
        </w:rPr>
        <w:t>Gender Pronouns and Name on Roster</w:t>
      </w:r>
    </w:p>
    <w:p w14:paraId="6EAEDB40" w14:textId="7ECEB754" w:rsidR="006A6F1D"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55216A">
        <w:rPr>
          <w:rFonts w:asciiTheme="majorHAnsi" w:hAnsiTheme="majorHAnsi" w:cstheme="majorHAnsi"/>
        </w:rPr>
        <w:t xml:space="preserve">Addressing one another at all times by using appropriate names and gender pronouns honors and affirms individuals of all gender identities and gender expressions. Misgendering and heteronormative language </w:t>
      </w:r>
      <w:r w:rsidR="00247C5B">
        <w:rPr>
          <w:rFonts w:asciiTheme="majorHAnsi" w:hAnsiTheme="majorHAnsi" w:cstheme="majorHAnsi"/>
        </w:rPr>
        <w:t>exclude</w:t>
      </w:r>
      <w:r w:rsidRPr="0055216A">
        <w:rPr>
          <w:rFonts w:asciiTheme="majorHAnsi" w:hAnsiTheme="majorHAnsi" w:cstheme="majorHAnsi"/>
        </w:rPr>
        <w:t xml:space="preserve"> the experiences of individuals whose identities may not fit the gender binary, and/or who may not identify with the sex they were assigned at birth. Explicit identification of pronouns is increasingly used in professional identification (</w:t>
      </w:r>
      <w:r w:rsidR="00247C5B" w:rsidRPr="0055216A">
        <w:rPr>
          <w:rFonts w:asciiTheme="majorHAnsi" w:hAnsiTheme="majorHAnsi" w:cstheme="majorHAnsi"/>
        </w:rPr>
        <w:t>e.g.,</w:t>
      </w:r>
      <w:r w:rsidRPr="0055216A">
        <w:rPr>
          <w:rFonts w:asciiTheme="majorHAnsi" w:hAnsiTheme="majorHAnsi" w:cstheme="majorHAnsi"/>
        </w:rPr>
        <w:t xml:space="preserve"> conference nametags, Twitter handles, etc.). </w:t>
      </w:r>
    </w:p>
    <w:p w14:paraId="480C5588" w14:textId="43C9DA43" w:rsidR="00934AEE" w:rsidRPr="0055216A"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55216A">
        <w:rPr>
          <w:rFonts w:asciiTheme="majorHAnsi" w:hAnsiTheme="majorHAnsi" w:cstheme="majorHAnsi"/>
        </w:rPr>
        <w:lastRenderedPageBreak/>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w:t>
      </w:r>
      <w:r w:rsidR="00247C5B" w:rsidRPr="0055216A">
        <w:rPr>
          <w:rFonts w:asciiTheme="majorHAnsi" w:hAnsiTheme="majorHAnsi" w:cstheme="majorHAnsi"/>
        </w:rPr>
        <w:t>Lou,</w:t>
      </w:r>
      <w:r w:rsidRPr="0055216A">
        <w:rPr>
          <w:rFonts w:asciiTheme="majorHAnsi" w:hAnsiTheme="majorHAnsi" w:cstheme="majorHAnsi"/>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sidR="00247C5B">
        <w:rPr>
          <w:rFonts w:asciiTheme="majorHAnsi" w:hAnsiTheme="majorHAnsi" w:cstheme="majorHAnsi"/>
        </w:rPr>
        <w:t>login</w:t>
      </w:r>
      <w:r w:rsidRPr="0055216A">
        <w:rPr>
          <w:rFonts w:asciiTheme="majorHAnsi" w:hAnsiTheme="majorHAnsi" w:cstheme="majorHAnsi"/>
        </w:rPr>
        <w:t xml:space="preserve"> on your Zoom account (e.g., add the pronouns after your last name) or you will have to add the pronouns manually during each and every zoom session. The goal is to create an affirming environment for all students with regard to their names and gender pronouns.</w:t>
      </w:r>
    </w:p>
    <w:p w14:paraId="2CB98FBA" w14:textId="77777777" w:rsidR="006A6F1D" w:rsidRPr="00B50AB5" w:rsidRDefault="006A6F1D" w:rsidP="00B50AB5">
      <w:pPr>
        <w:spacing w:before="120" w:after="120" w:line="240" w:lineRule="auto"/>
        <w:rPr>
          <w:rFonts w:asciiTheme="majorHAnsi" w:hAnsiTheme="majorHAnsi" w:cstheme="majorHAnsi"/>
          <w:b/>
        </w:rPr>
      </w:pPr>
      <w:r w:rsidRPr="00B50AB5">
        <w:rPr>
          <w:rFonts w:asciiTheme="majorHAnsi" w:hAnsiTheme="majorHAnsi" w:cstheme="majorHAnsi"/>
          <w:b/>
        </w:rPr>
        <w:t>Brave and Safe Space</w:t>
      </w:r>
    </w:p>
    <w:p w14:paraId="65CB8AC4" w14:textId="3B94766E" w:rsidR="006A6F1D" w:rsidRPr="00B50AB5" w:rsidRDefault="006A6F1D" w:rsidP="00B50AB5">
      <w:pPr>
        <w:spacing w:before="120" w:after="120" w:line="240" w:lineRule="auto"/>
        <w:ind w:left="144"/>
        <w:rPr>
          <w:rFonts w:asciiTheme="majorHAnsi" w:hAnsiTheme="majorHAnsi" w:cstheme="majorHAnsi"/>
        </w:rPr>
      </w:pPr>
      <w:r w:rsidRPr="00B50AB5">
        <w:rPr>
          <w:rFonts w:asciiTheme="majorHAnsi" w:hAnsiTheme="majorHAnsi" w:cstheme="majorHAnsi"/>
        </w:rPr>
        <w:t xml:space="preserve">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w:t>
      </w:r>
      <w:r w:rsidR="00247C5B">
        <w:rPr>
          <w:rFonts w:asciiTheme="majorHAnsi" w:hAnsiTheme="majorHAnsi" w:cstheme="majorHAnsi"/>
        </w:rPr>
        <w:t xml:space="preserve">the </w:t>
      </w:r>
      <w:r w:rsidRPr="00B50AB5">
        <w:rPr>
          <w:rFonts w:asciiTheme="majorHAnsi" w:hAnsiTheme="majorHAnsi" w:cstheme="majorHAnsi"/>
        </w:rPr>
        <w:t>difference and holding each person accountable to do the work of sharing experiences and coming to new understandings - a feat that’s often hard, and typically uncomfortable.</w:t>
      </w:r>
    </w:p>
    <w:p w14:paraId="7C9C8B95" w14:textId="4AFF071B" w:rsidR="00934AEE" w:rsidRPr="00B50AB5" w:rsidRDefault="006A6F1D" w:rsidP="00B50AB5">
      <w:pPr>
        <w:spacing w:before="120" w:after="120" w:line="240" w:lineRule="auto"/>
        <w:ind w:left="144"/>
        <w:rPr>
          <w:rFonts w:asciiTheme="majorHAnsi" w:hAnsiTheme="majorHAnsi" w:cstheme="majorHAnsi"/>
        </w:rPr>
      </w:pPr>
      <w:r w:rsidRPr="00B50AB5">
        <w:rPr>
          <w:rFonts w:asciiTheme="majorHAnsi"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desire. You should be reassured that expressing your concerns will not result in any penalty to you.</w:t>
      </w:r>
    </w:p>
    <w:p w14:paraId="2F8BF69C" w14:textId="77777777" w:rsidR="006A6F1D" w:rsidRPr="00B50AB5"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hAnsiTheme="majorHAnsi" w:cstheme="majorHAnsi"/>
        </w:rPr>
      </w:pPr>
      <w:r w:rsidRPr="00B50AB5">
        <w:rPr>
          <w:rFonts w:asciiTheme="majorHAnsi" w:hAnsiTheme="majorHAnsi" w:cstheme="majorHAnsi"/>
          <w:b/>
          <w:bCs/>
        </w:rPr>
        <w:t>Title IX Disclosure and Rights</w:t>
      </w:r>
    </w:p>
    <w:p w14:paraId="5129357E" w14:textId="5035E4C0" w:rsidR="00934AEE" w:rsidRPr="00B50AB5" w:rsidRDefault="006A6F1D" w:rsidP="00B50A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ind w:left="144"/>
        <w:rPr>
          <w:rFonts w:asciiTheme="majorHAnsi" w:hAnsiTheme="majorHAnsi" w:cstheme="majorHAnsi"/>
        </w:rPr>
      </w:pPr>
      <w:r w:rsidRPr="00B50AB5">
        <w:rPr>
          <w:rFonts w:asciiTheme="majorHAnsi"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3" w:history="1">
        <w:r w:rsidRPr="00B50AB5">
          <w:rPr>
            <w:rStyle w:val="Hyperlink"/>
            <w:rFonts w:asciiTheme="majorHAnsi" w:hAnsiTheme="majorHAnsi" w:cstheme="majorHAnsi"/>
          </w:rPr>
          <w:t>Title IX at Loyola University Chicago Page</w:t>
        </w:r>
      </w:hyperlink>
      <w:r w:rsidRPr="00B50AB5">
        <w:rPr>
          <w:rFonts w:asciiTheme="majorHAnsi" w:hAnsiTheme="majorHAnsi" w:cstheme="majorHAnsi"/>
        </w:rPr>
        <w:t xml:space="preserve"> for more information regarding the University’s response to notifications of gender-based misconduct.  The following link contains information if you wish to </w:t>
      </w:r>
      <w:hyperlink r:id="rId14" w:history="1">
        <w:r w:rsidRPr="00B50AB5">
          <w:rPr>
            <w:rStyle w:val="Hyperlink"/>
            <w:rFonts w:asciiTheme="majorHAnsi" w:hAnsiTheme="majorHAnsi" w:cstheme="majorHAnsi"/>
          </w:rPr>
          <w:t>speak or contact a confidential resource on campus</w:t>
        </w:r>
      </w:hyperlink>
      <w:r w:rsidRPr="00B50AB5">
        <w:rPr>
          <w:rFonts w:asciiTheme="majorHAnsi" w:hAnsiTheme="majorHAnsi" w:cstheme="majorHAnsi"/>
        </w:rPr>
        <w:t>.</w:t>
      </w:r>
    </w:p>
    <w:p w14:paraId="77F42925" w14:textId="77777777" w:rsidR="006A6F1D" w:rsidRPr="00B50AB5" w:rsidRDefault="006A6F1D" w:rsidP="00B50AB5">
      <w:pPr>
        <w:spacing w:before="120" w:after="120" w:line="240" w:lineRule="auto"/>
        <w:rPr>
          <w:rFonts w:asciiTheme="majorHAnsi" w:hAnsiTheme="majorHAnsi" w:cstheme="majorHAnsi"/>
          <w:b/>
          <w:spacing w:val="6"/>
        </w:rPr>
      </w:pPr>
      <w:r w:rsidRPr="00B50AB5">
        <w:rPr>
          <w:rFonts w:asciiTheme="majorHAnsi" w:hAnsiTheme="majorHAnsi" w:cstheme="majorHAnsi"/>
          <w:b/>
          <w:spacing w:val="6"/>
        </w:rPr>
        <w:t>Student Code of Conduct</w:t>
      </w:r>
    </w:p>
    <w:p w14:paraId="392CBF4F" w14:textId="25258FC9" w:rsidR="006A6F1D" w:rsidRPr="00B50AB5" w:rsidRDefault="006A6F1D" w:rsidP="00B50AB5">
      <w:pPr>
        <w:spacing w:before="120" w:after="120" w:line="240" w:lineRule="auto"/>
        <w:ind w:left="144"/>
        <w:rPr>
          <w:rFonts w:asciiTheme="majorHAnsi" w:hAnsiTheme="majorHAnsi" w:cstheme="majorHAnsi"/>
          <w:color w:val="000000"/>
        </w:rPr>
      </w:pPr>
      <w:r w:rsidRPr="00B50AB5">
        <w:rPr>
          <w:rFonts w:asciiTheme="majorHAnsi"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hyperlink r:id="rId15" w:history="1">
        <w:r w:rsidRPr="00B50AB5">
          <w:rPr>
            <w:rStyle w:val="Hyperlink"/>
            <w:rFonts w:asciiTheme="majorHAnsi" w:hAnsiTheme="majorHAnsi" w:cstheme="majorHAnsi"/>
          </w:rPr>
          <w:t>Loyola University Code of Conduct</w:t>
        </w:r>
      </w:hyperlink>
      <w:r w:rsidRPr="00B50AB5">
        <w:rPr>
          <w:rFonts w:asciiTheme="majorHAnsi" w:hAnsiTheme="majorHAnsi" w:cstheme="majorHAnsi"/>
          <w:color w:val="000000"/>
        </w:rPr>
        <w:t xml:space="preserve">. </w:t>
      </w:r>
    </w:p>
    <w:p w14:paraId="04B41A70" w14:textId="77777777" w:rsidR="006A6F1D" w:rsidRPr="00B50AB5" w:rsidRDefault="006A6F1D" w:rsidP="00B50AB5">
      <w:pPr>
        <w:spacing w:before="120" w:after="120" w:line="240" w:lineRule="auto"/>
        <w:rPr>
          <w:rFonts w:asciiTheme="majorHAnsi" w:hAnsiTheme="majorHAnsi" w:cstheme="majorHAnsi"/>
          <w:b/>
        </w:rPr>
      </w:pPr>
      <w:r w:rsidRPr="00B50AB5">
        <w:rPr>
          <w:rFonts w:asciiTheme="majorHAnsi" w:hAnsiTheme="majorHAnsi" w:cstheme="majorHAnsi"/>
          <w:b/>
        </w:rPr>
        <w:t>Privacy Policy – FERPA</w:t>
      </w:r>
    </w:p>
    <w:p w14:paraId="60E8D42A" w14:textId="5206B886" w:rsidR="006A6F1D" w:rsidRPr="00B50AB5" w:rsidRDefault="006A6F1D" w:rsidP="00B50AB5">
      <w:pPr>
        <w:spacing w:before="120" w:after="120" w:line="240" w:lineRule="auto"/>
        <w:ind w:left="144"/>
        <w:rPr>
          <w:rFonts w:asciiTheme="majorHAnsi" w:hAnsiTheme="majorHAnsi" w:cstheme="majorHAnsi"/>
        </w:rPr>
      </w:pPr>
      <w:r w:rsidRPr="00B50AB5">
        <w:rPr>
          <w:rFonts w:asciiTheme="majorHAnsi" w:hAnsiTheme="majorHAnsi" w:cstheme="majorHAnsi"/>
        </w:rPr>
        <w:t>FERPA (F</w:t>
      </w:r>
      <w:r w:rsidR="005F74B2" w:rsidRPr="00B50AB5">
        <w:rPr>
          <w:rFonts w:asciiTheme="majorHAnsi" w:hAnsiTheme="majorHAnsi" w:cstheme="majorHAnsi"/>
        </w:rPr>
        <w:t>amily</w:t>
      </w:r>
      <w:r w:rsidRPr="00B50AB5">
        <w:rPr>
          <w:rFonts w:asciiTheme="majorHAnsi" w:hAnsiTheme="majorHAnsi" w:cstheme="majorHAnsi"/>
        </w:rPr>
        <w:t xml:space="preserve"> Educational Rights and Privacy Act) is a federal law that protects the privacy of students and educational records. To learn more about </w:t>
      </w:r>
      <w:r w:rsidR="00247C5B">
        <w:rPr>
          <w:rFonts w:asciiTheme="majorHAnsi" w:hAnsiTheme="majorHAnsi" w:cstheme="majorHAnsi"/>
        </w:rPr>
        <w:t>students’</w:t>
      </w:r>
      <w:r w:rsidRPr="00B50AB5">
        <w:rPr>
          <w:rFonts w:asciiTheme="majorHAnsi" w:hAnsiTheme="majorHAnsi" w:cstheme="majorHAnsi"/>
        </w:rPr>
        <w:t xml:space="preserve"> privacy rights visit the </w:t>
      </w:r>
      <w:hyperlink r:id="rId16" w:history="1">
        <w:r w:rsidRPr="00B50AB5">
          <w:rPr>
            <w:rStyle w:val="Hyperlink"/>
            <w:rFonts w:asciiTheme="majorHAnsi" w:hAnsiTheme="majorHAnsi" w:cstheme="majorHAnsi"/>
          </w:rPr>
          <w:t>FERPA Act</w:t>
        </w:r>
      </w:hyperlink>
      <w:r w:rsidRPr="00B50AB5">
        <w:rPr>
          <w:rFonts w:asciiTheme="majorHAnsi" w:hAnsiTheme="majorHAnsi" w:cstheme="majorHAnsi"/>
        </w:rPr>
        <w:t xml:space="preserve"> at Loyola University website or the </w:t>
      </w:r>
      <w:hyperlink r:id="rId17" w:history="1">
        <w:r w:rsidRPr="00B50AB5">
          <w:rPr>
            <w:rStyle w:val="Hyperlink"/>
            <w:rFonts w:asciiTheme="majorHAnsi" w:hAnsiTheme="majorHAnsi" w:cstheme="majorHAnsi"/>
          </w:rPr>
          <w:t>U.S Dept. of Education</w:t>
        </w:r>
      </w:hyperlink>
      <w:r w:rsidRPr="00B50AB5">
        <w:rPr>
          <w:rFonts w:asciiTheme="majorHAnsi" w:hAnsiTheme="majorHAnsi" w:cstheme="majorHAnsi"/>
        </w:rPr>
        <w:t xml:space="preserve"> website. Loyola University, e-mail</w:t>
      </w:r>
      <w:r w:rsidR="00247C5B">
        <w:rPr>
          <w:rFonts w:asciiTheme="majorHAnsi" w:hAnsiTheme="majorHAnsi" w:cstheme="majorHAnsi"/>
        </w:rPr>
        <w:t>,</w:t>
      </w:r>
      <w:r w:rsidRPr="00B50AB5">
        <w:rPr>
          <w:rFonts w:asciiTheme="majorHAnsi" w:hAnsiTheme="majorHAnsi" w:cstheme="majorHAnsi"/>
        </w:rPr>
        <w:t xml:space="preserve"> and Learning Management System meet FERPA requirements.</w:t>
      </w:r>
    </w:p>
    <w:p w14:paraId="5F203FF3" w14:textId="698FD51D" w:rsidR="006A6F1D" w:rsidRPr="00B50AB5" w:rsidRDefault="00247C5B" w:rsidP="00B50AB5">
      <w:pPr>
        <w:spacing w:before="120" w:after="120" w:line="240" w:lineRule="auto"/>
        <w:rPr>
          <w:rFonts w:asciiTheme="majorHAnsi" w:hAnsiTheme="majorHAnsi" w:cstheme="majorHAnsi"/>
          <w:b/>
          <w:spacing w:val="6"/>
        </w:rPr>
      </w:pPr>
      <w:r>
        <w:rPr>
          <w:rFonts w:asciiTheme="majorHAnsi" w:hAnsiTheme="majorHAnsi" w:cstheme="majorHAnsi"/>
          <w:b/>
          <w:spacing w:val="6"/>
        </w:rPr>
        <w:t>Third-Party</w:t>
      </w:r>
      <w:r w:rsidR="006A6F1D" w:rsidRPr="00B50AB5">
        <w:rPr>
          <w:rFonts w:asciiTheme="majorHAnsi" w:hAnsiTheme="majorHAnsi" w:cstheme="majorHAnsi"/>
          <w:b/>
          <w:spacing w:val="6"/>
        </w:rPr>
        <w:t xml:space="preserve"> and FERPA</w:t>
      </w:r>
    </w:p>
    <w:p w14:paraId="37FCF492" w14:textId="7B1EF587" w:rsidR="0037556E" w:rsidRPr="00B50AB5" w:rsidRDefault="006A6F1D" w:rsidP="00B50AB5">
      <w:pPr>
        <w:spacing w:before="120" w:after="120" w:line="240" w:lineRule="auto"/>
        <w:ind w:left="144"/>
        <w:contextualSpacing/>
        <w:rPr>
          <w:rFonts w:asciiTheme="majorHAnsi" w:hAnsiTheme="majorHAnsi" w:cstheme="majorHAnsi"/>
          <w:spacing w:val="6"/>
        </w:rPr>
      </w:pPr>
      <w:r w:rsidRPr="00B50AB5">
        <w:rPr>
          <w:rFonts w:asciiTheme="majorHAnsi" w:hAnsiTheme="majorHAnsi" w:cstheme="majorHAnsi"/>
          <w:spacing w:val="6"/>
        </w:rPr>
        <w:lastRenderedPageBreak/>
        <w:t>Some assignments may require the use of public online websites, applications, social media</w:t>
      </w:r>
      <w:r w:rsidR="00247C5B">
        <w:rPr>
          <w:rFonts w:asciiTheme="majorHAnsi" w:hAnsiTheme="majorHAnsi" w:cstheme="majorHAnsi"/>
          <w:spacing w:val="6"/>
        </w:rPr>
        <w:t>,</w:t>
      </w:r>
      <w:r w:rsidRPr="00B50AB5">
        <w:rPr>
          <w:rFonts w:asciiTheme="majorHAnsi" w:hAnsiTheme="majorHAnsi" w:cstheme="majorHAnsi"/>
          <w:spacing w:val="6"/>
        </w:rPr>
        <w:t xml:space="preserve"> and/or blogs among others. If a course requires students to participate in these </w:t>
      </w:r>
      <w:r w:rsidR="00247C5B">
        <w:rPr>
          <w:rFonts w:asciiTheme="majorHAnsi" w:hAnsiTheme="majorHAnsi" w:cstheme="majorHAnsi"/>
          <w:spacing w:val="6"/>
        </w:rPr>
        <w:t>types</w:t>
      </w:r>
      <w:r w:rsidRPr="00B50AB5">
        <w:rPr>
          <w:rFonts w:asciiTheme="majorHAnsi" w:hAnsiTheme="majorHAnsi" w:cstheme="majorHAnsi"/>
          <w:spacing w:val="6"/>
        </w:rPr>
        <w:t xml:space="preserve"> of activities the students can </w:t>
      </w:r>
      <w:r w:rsidR="00247C5B">
        <w:rPr>
          <w:rFonts w:asciiTheme="majorHAnsi" w:hAnsiTheme="majorHAnsi" w:cstheme="majorHAnsi"/>
          <w:spacing w:val="6"/>
        </w:rPr>
        <w:t>choose</w:t>
      </w:r>
      <w:r w:rsidRPr="00B50AB5">
        <w:rPr>
          <w:rFonts w:asciiTheme="majorHAnsi" w:hAnsiTheme="majorHAnsi" w:cstheme="majorHAnsi"/>
          <w:spacing w:val="6"/>
        </w:rPr>
        <w:t xml:space="preserve"> not to participate. In this case</w:t>
      </w:r>
      <w:r w:rsidR="00247C5B">
        <w:rPr>
          <w:rFonts w:asciiTheme="majorHAnsi" w:hAnsiTheme="majorHAnsi" w:cstheme="majorHAnsi"/>
          <w:spacing w:val="6"/>
        </w:rPr>
        <w:t>,</w:t>
      </w:r>
      <w:r w:rsidRPr="00B50AB5">
        <w:rPr>
          <w:rFonts w:asciiTheme="majorHAnsi" w:hAnsiTheme="majorHAnsi" w:cstheme="majorHAnsi"/>
          <w:spacing w:val="6"/>
        </w:rPr>
        <w:t xml:space="preserve"> the students should contact the instructor as soon as possible and let them know of their decision. Please avoid sharing </w:t>
      </w:r>
      <w:r w:rsidR="00247C5B">
        <w:rPr>
          <w:rFonts w:asciiTheme="majorHAnsi" w:hAnsiTheme="majorHAnsi" w:cstheme="majorHAnsi"/>
          <w:spacing w:val="6"/>
        </w:rPr>
        <w:t xml:space="preserve">the </w:t>
      </w:r>
      <w:r w:rsidRPr="00B50AB5">
        <w:rPr>
          <w:rFonts w:asciiTheme="majorHAnsi" w:hAnsiTheme="majorHAnsi" w:cstheme="majorHAnsi"/>
          <w:spacing w:val="6"/>
        </w:rPr>
        <w:t>private information of others.</w:t>
      </w:r>
    </w:p>
    <w:p w14:paraId="4B701F15" w14:textId="77777777" w:rsidR="006A6F1D" w:rsidRPr="00B50AB5" w:rsidRDefault="006A6F1D" w:rsidP="00B50AB5">
      <w:pPr>
        <w:spacing w:before="120" w:after="120" w:line="240" w:lineRule="auto"/>
        <w:contextualSpacing/>
        <w:rPr>
          <w:rFonts w:asciiTheme="majorHAnsi" w:hAnsiTheme="majorHAnsi" w:cstheme="majorHAnsi"/>
          <w:b/>
          <w:iCs/>
        </w:rPr>
      </w:pPr>
      <w:r w:rsidRPr="00B50AB5">
        <w:rPr>
          <w:rFonts w:asciiTheme="majorHAnsi" w:hAnsiTheme="majorHAnsi" w:cstheme="majorHAnsi"/>
          <w:b/>
          <w:iCs/>
        </w:rPr>
        <w:t>Resources for Writing</w:t>
      </w:r>
    </w:p>
    <w:p w14:paraId="5EE8622D" w14:textId="0DF084A2" w:rsidR="00934AEE" w:rsidRPr="00B50AB5" w:rsidRDefault="006A6F1D" w:rsidP="00B50AB5">
      <w:pPr>
        <w:spacing w:before="120" w:after="120" w:line="240" w:lineRule="auto"/>
        <w:ind w:left="187"/>
        <w:rPr>
          <w:rFonts w:asciiTheme="majorHAnsi" w:hAnsiTheme="majorHAnsi" w:cstheme="majorHAnsi"/>
          <w:color w:val="0563C1" w:themeColor="hyperlink"/>
          <w:u w:val="single"/>
        </w:rPr>
      </w:pPr>
      <w:r w:rsidRPr="00B50AB5">
        <w:rPr>
          <w:rFonts w:asciiTheme="majorHAnsi"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8" w:history="1">
        <w:r w:rsidRPr="00B50AB5">
          <w:rPr>
            <w:rStyle w:val="Hyperlink"/>
            <w:rFonts w:asciiTheme="majorHAnsi" w:hAnsiTheme="majorHAnsi" w:cstheme="majorHAnsi"/>
          </w:rPr>
          <w:t>http://www.luc.edu/writing/home/</w:t>
        </w:r>
      </w:hyperlink>
      <w:r w:rsidRPr="00B50AB5">
        <w:rPr>
          <w:rFonts w:asciiTheme="majorHAnsi" w:hAnsiTheme="majorHAnsi" w:cstheme="majorHAnsi"/>
        </w:rPr>
        <w:t xml:space="preserve"> for additional information.  Services are available at both WTC &amp; LSC. Resources for APA may be found here: </w:t>
      </w:r>
      <w:hyperlink r:id="rId19" w:history="1">
        <w:r w:rsidRPr="00B50AB5">
          <w:rPr>
            <w:rStyle w:val="Hyperlink"/>
            <w:rFonts w:asciiTheme="majorHAnsi" w:hAnsiTheme="majorHAnsi" w:cstheme="majorHAnsi"/>
          </w:rPr>
          <w:t>http://owl.english.purdue.edu/owl/resource/560/01/</w:t>
        </w:r>
      </w:hyperlink>
    </w:p>
    <w:p w14:paraId="72B0E764" w14:textId="77777777" w:rsidR="006A6F1D" w:rsidRPr="00B50AB5" w:rsidRDefault="006A6F1D" w:rsidP="00B50AB5">
      <w:pPr>
        <w:pStyle w:val="Heading2"/>
        <w:spacing w:before="120" w:after="120"/>
        <w:ind w:left="57" w:hanging="14"/>
        <w:rPr>
          <w:rFonts w:cstheme="majorHAnsi"/>
          <w:b/>
          <w:bCs/>
          <w:color w:val="000000" w:themeColor="text1"/>
          <w:sz w:val="22"/>
          <w:szCs w:val="22"/>
        </w:rPr>
      </w:pPr>
      <w:r w:rsidRPr="00B50AB5">
        <w:rPr>
          <w:rFonts w:cstheme="majorHAnsi"/>
          <w:b/>
          <w:bCs/>
          <w:color w:val="000000" w:themeColor="text1"/>
          <w:sz w:val="22"/>
          <w:szCs w:val="22"/>
        </w:rPr>
        <w:t>Help with Technology – Help Desk</w:t>
      </w:r>
    </w:p>
    <w:p w14:paraId="07A9EB35" w14:textId="77777777" w:rsidR="006A6F1D" w:rsidRPr="00B50AB5" w:rsidRDefault="006A6F1D" w:rsidP="00B50AB5">
      <w:pPr>
        <w:spacing w:before="120" w:after="120" w:line="240" w:lineRule="auto"/>
        <w:ind w:left="144"/>
        <w:rPr>
          <w:rFonts w:asciiTheme="majorHAnsi" w:hAnsiTheme="majorHAnsi" w:cstheme="majorHAnsi"/>
          <w:bCs/>
        </w:rPr>
      </w:pPr>
      <w:r w:rsidRPr="00B50AB5">
        <w:rPr>
          <w:rFonts w:asciiTheme="majorHAnsi" w:hAnsiTheme="majorHAnsi" w:cstheme="majorHAnsi"/>
        </w:rPr>
        <w:t xml:space="preserve">The ITS Service Desk provides the University with a single point of access for technology support. They are committed to providing excellent, professional customer service in tracking and resolving support requests. </w:t>
      </w:r>
      <w:r w:rsidRPr="00B50AB5">
        <w:rPr>
          <w:rFonts w:asciiTheme="majorHAnsi" w:hAnsiTheme="majorHAnsi" w:cstheme="majorHAnsi"/>
          <w:bCs/>
        </w:rPr>
        <w:t xml:space="preserve">To request assistance, please contact the ITS Service Desk at 773.508.4ITS or via email at ITS Service Desk </w:t>
      </w:r>
      <w:hyperlink r:id="rId20" w:history="1">
        <w:r w:rsidRPr="00B50AB5">
          <w:rPr>
            <w:rFonts w:asciiTheme="majorHAnsi" w:hAnsiTheme="majorHAnsi" w:cstheme="majorHAnsi"/>
            <w:bCs/>
            <w:color w:val="0000FF"/>
            <w:u w:val="single"/>
          </w:rPr>
          <w:t>ITSServiceDesk@luc.edu</w:t>
        </w:r>
      </w:hyperlink>
      <w:r w:rsidRPr="00B50AB5">
        <w:rPr>
          <w:rFonts w:asciiTheme="majorHAnsi" w:hAnsiTheme="majorHAnsi" w:cstheme="majorHAnsi"/>
          <w:bCs/>
        </w:rPr>
        <w:t xml:space="preserve">. Help Desk </w:t>
      </w:r>
      <w:hyperlink r:id="rId21" w:history="1">
        <w:r w:rsidRPr="00B50AB5">
          <w:rPr>
            <w:rStyle w:val="Hyperlink"/>
            <w:rFonts w:asciiTheme="majorHAnsi" w:hAnsiTheme="majorHAnsi" w:cstheme="majorHAnsi"/>
            <w:bCs/>
          </w:rPr>
          <w:t>Support Hours</w:t>
        </w:r>
      </w:hyperlink>
      <w:r w:rsidRPr="00B50AB5">
        <w:rPr>
          <w:rFonts w:asciiTheme="majorHAnsi" w:hAnsiTheme="majorHAnsi" w:cstheme="majorHAnsi"/>
          <w:bCs/>
        </w:rPr>
        <w:t>.</w:t>
      </w:r>
    </w:p>
    <w:p w14:paraId="1CB0F7BE" w14:textId="77777777" w:rsidR="006A6F1D" w:rsidRPr="00B50AB5" w:rsidRDefault="006A6F1D" w:rsidP="00B50AB5">
      <w:pPr>
        <w:pStyle w:val="Heading2"/>
        <w:spacing w:before="120" w:after="120"/>
        <w:ind w:left="14" w:hanging="14"/>
        <w:rPr>
          <w:rFonts w:cstheme="majorHAnsi"/>
          <w:b/>
          <w:bCs/>
          <w:color w:val="000000" w:themeColor="text1"/>
          <w:sz w:val="22"/>
          <w:szCs w:val="22"/>
        </w:rPr>
      </w:pPr>
      <w:r w:rsidRPr="00B50AB5">
        <w:rPr>
          <w:rFonts w:cstheme="majorHAnsi"/>
          <w:b/>
          <w:bCs/>
          <w:color w:val="000000" w:themeColor="text1"/>
          <w:sz w:val="22"/>
          <w:szCs w:val="22"/>
        </w:rPr>
        <w:t>Important Contact Information</w:t>
      </w:r>
    </w:p>
    <w:p w14:paraId="4C1D034C" w14:textId="77777777" w:rsidR="006A6F1D" w:rsidRPr="00B50AB5" w:rsidRDefault="006A6F1D" w:rsidP="00B50AB5">
      <w:pPr>
        <w:spacing w:before="120" w:after="120" w:line="240" w:lineRule="auto"/>
        <w:ind w:left="360"/>
        <w:contextualSpacing/>
        <w:rPr>
          <w:rFonts w:asciiTheme="majorHAnsi" w:hAnsiTheme="majorHAnsi" w:cstheme="majorHAnsi"/>
        </w:rPr>
      </w:pPr>
      <w:r w:rsidRPr="00B50AB5">
        <w:rPr>
          <w:rFonts w:asciiTheme="majorHAnsi" w:hAnsiTheme="majorHAnsi" w:cstheme="majorHAnsi"/>
          <w:spacing w:val="6"/>
        </w:rPr>
        <w:t xml:space="preserve">IT Help Desk: 773-508-4487, </w:t>
      </w:r>
      <w:hyperlink r:id="rId22" w:tgtFrame="_blank" w:history="1">
        <w:r w:rsidRPr="00B50AB5">
          <w:rPr>
            <w:rFonts w:asciiTheme="majorHAnsi" w:hAnsiTheme="majorHAnsi" w:cstheme="majorHAnsi"/>
            <w:color w:val="0000FF"/>
            <w:spacing w:val="6"/>
            <w:u w:val="single"/>
          </w:rPr>
          <w:t>IT Help Desk Website</w:t>
        </w:r>
      </w:hyperlink>
    </w:p>
    <w:p w14:paraId="10145B32" w14:textId="77777777" w:rsidR="006A6F1D" w:rsidRPr="00B50AB5" w:rsidRDefault="006A6F1D" w:rsidP="00B50AB5">
      <w:pPr>
        <w:spacing w:before="120" w:after="120" w:line="240" w:lineRule="auto"/>
        <w:ind w:left="360"/>
        <w:contextualSpacing/>
        <w:rPr>
          <w:rFonts w:asciiTheme="majorHAnsi" w:hAnsiTheme="majorHAnsi" w:cstheme="majorHAnsi"/>
        </w:rPr>
      </w:pPr>
      <w:r w:rsidRPr="00B50AB5">
        <w:rPr>
          <w:rFonts w:asciiTheme="majorHAnsi" w:hAnsiTheme="majorHAnsi" w:cstheme="majorHAnsi"/>
        </w:rPr>
        <w:t xml:space="preserve">Wellness Center: 773- 494-3810,  </w:t>
      </w:r>
      <w:hyperlink r:id="rId23" w:tgtFrame="_blank" w:history="1">
        <w:r w:rsidRPr="00B50AB5">
          <w:rPr>
            <w:rFonts w:asciiTheme="majorHAnsi" w:hAnsiTheme="majorHAnsi" w:cstheme="majorHAnsi"/>
            <w:color w:val="0000FF"/>
            <w:u w:val="single"/>
          </w:rPr>
          <w:t>Wellness Center Website</w:t>
        </w:r>
      </w:hyperlink>
      <w:r w:rsidRPr="00B50AB5">
        <w:rPr>
          <w:rFonts w:asciiTheme="majorHAnsi" w:hAnsiTheme="majorHAnsi" w:cstheme="majorHAnsi"/>
        </w:rPr>
        <w:br/>
      </w:r>
      <w:r w:rsidRPr="00B50AB5">
        <w:rPr>
          <w:rFonts w:asciiTheme="majorHAnsi" w:hAnsiTheme="majorHAnsi" w:cstheme="majorHAnsi"/>
          <w:spacing w:val="6"/>
        </w:rPr>
        <w:t xml:space="preserve">Writing Center: 312-915-6089, </w:t>
      </w:r>
      <w:hyperlink r:id="rId24" w:tgtFrame="_blank" w:history="1">
        <w:r w:rsidRPr="00B50AB5">
          <w:rPr>
            <w:rFonts w:asciiTheme="majorHAnsi" w:hAnsiTheme="majorHAnsi" w:cstheme="majorHAnsi"/>
            <w:color w:val="0000FF"/>
            <w:spacing w:val="6"/>
            <w:u w:val="single"/>
          </w:rPr>
          <w:t>Writing Center Website</w:t>
        </w:r>
      </w:hyperlink>
      <w:r w:rsidRPr="00B50AB5">
        <w:rPr>
          <w:rFonts w:asciiTheme="majorHAnsi" w:hAnsiTheme="majorHAnsi" w:cstheme="majorHAnsi"/>
        </w:rPr>
        <w:br/>
      </w:r>
      <w:r w:rsidRPr="00B50AB5">
        <w:rPr>
          <w:rFonts w:asciiTheme="majorHAnsi" w:hAnsiTheme="majorHAnsi" w:cstheme="majorHAnsi"/>
          <w:spacing w:val="6"/>
        </w:rPr>
        <w:t xml:space="preserve">Tutoring – Academic Excellence: 773-508-7708, </w:t>
      </w:r>
      <w:hyperlink r:id="rId25" w:tgtFrame="_blank" w:history="1">
        <w:r w:rsidRPr="00B50AB5">
          <w:rPr>
            <w:rFonts w:asciiTheme="majorHAnsi" w:hAnsiTheme="majorHAnsi" w:cstheme="majorHAnsi"/>
            <w:color w:val="0000FF"/>
            <w:spacing w:val="6"/>
            <w:u w:val="single"/>
          </w:rPr>
          <w:t>Tutoring Website</w:t>
        </w:r>
      </w:hyperlink>
      <w:r w:rsidRPr="00B50AB5">
        <w:rPr>
          <w:rFonts w:asciiTheme="majorHAnsi" w:hAnsiTheme="majorHAnsi" w:cstheme="majorHAnsi"/>
        </w:rPr>
        <w:br/>
      </w:r>
      <w:r w:rsidRPr="00B50AB5">
        <w:rPr>
          <w:rFonts w:asciiTheme="majorHAnsi" w:hAnsiTheme="majorHAnsi" w:cstheme="majorHAnsi"/>
          <w:spacing w:val="6"/>
        </w:rPr>
        <w:t xml:space="preserve">Ethics Hotline: 1-855-603-6988, </w:t>
      </w:r>
      <w:hyperlink r:id="rId26" w:tgtFrame="_blank" w:history="1">
        <w:r w:rsidRPr="00B50AB5">
          <w:rPr>
            <w:rFonts w:asciiTheme="majorHAnsi" w:hAnsiTheme="majorHAnsi" w:cstheme="majorHAnsi"/>
            <w:color w:val="0000FF"/>
            <w:spacing w:val="6"/>
            <w:u w:val="single"/>
          </w:rPr>
          <w:t>Ethics Hotline Website</w:t>
        </w:r>
      </w:hyperlink>
      <w:r w:rsidRPr="00B50AB5">
        <w:rPr>
          <w:rFonts w:asciiTheme="majorHAnsi" w:hAnsiTheme="majorHAnsi" w:cstheme="majorHAnsi"/>
        </w:rPr>
        <w:br/>
      </w:r>
      <w:r w:rsidRPr="00B50AB5">
        <w:rPr>
          <w:rFonts w:asciiTheme="majorHAnsi" w:hAnsiTheme="majorHAnsi" w:cstheme="majorHAnsi"/>
          <w:spacing w:val="6"/>
        </w:rPr>
        <w:t xml:space="preserve">Military Veteran Student Services: 773-508-7765, </w:t>
      </w:r>
      <w:hyperlink r:id="rId27" w:tgtFrame="_blank" w:history="1">
        <w:r w:rsidRPr="00B50AB5">
          <w:rPr>
            <w:rFonts w:asciiTheme="majorHAnsi" w:hAnsiTheme="majorHAnsi" w:cstheme="majorHAnsi"/>
            <w:color w:val="0000FF"/>
            <w:spacing w:val="6"/>
            <w:u w:val="single"/>
          </w:rPr>
          <w:t>Veteran Student Services Website</w:t>
        </w:r>
      </w:hyperlink>
      <w:r w:rsidRPr="00B50AB5">
        <w:rPr>
          <w:rFonts w:asciiTheme="majorHAnsi" w:hAnsiTheme="majorHAnsi" w:cstheme="majorHAnsi"/>
        </w:rPr>
        <w:br/>
      </w:r>
      <w:r w:rsidRPr="00B50AB5">
        <w:rPr>
          <w:rFonts w:asciiTheme="majorHAnsi" w:hAnsiTheme="majorHAnsi" w:cstheme="majorHAnsi"/>
          <w:spacing w:val="6"/>
        </w:rPr>
        <w:t xml:space="preserve">Library: 312-915-6622, </w:t>
      </w:r>
      <w:hyperlink r:id="rId28" w:tgtFrame="_blank" w:history="1">
        <w:r w:rsidRPr="00B50AB5">
          <w:rPr>
            <w:rFonts w:asciiTheme="majorHAnsi" w:hAnsiTheme="majorHAnsi" w:cstheme="majorHAnsi"/>
            <w:color w:val="0000FF"/>
            <w:spacing w:val="6"/>
            <w:u w:val="single"/>
          </w:rPr>
          <w:t>Library Website</w:t>
        </w:r>
      </w:hyperlink>
      <w:r w:rsidRPr="00B50AB5">
        <w:rPr>
          <w:rFonts w:asciiTheme="majorHAnsi" w:hAnsiTheme="majorHAnsi" w:cstheme="majorHAnsi"/>
        </w:rPr>
        <w:t> </w:t>
      </w:r>
    </w:p>
    <w:p w14:paraId="7DB1FC53" w14:textId="21AF2373" w:rsidR="006A6F1D" w:rsidRDefault="006A6F1D" w:rsidP="006042B5">
      <w:pPr>
        <w:spacing w:before="120" w:after="120" w:line="240" w:lineRule="auto"/>
        <w:ind w:left="360"/>
        <w:contextualSpacing/>
        <w:rPr>
          <w:rFonts w:asciiTheme="majorHAnsi" w:hAnsiTheme="majorHAnsi" w:cstheme="majorHAnsi"/>
        </w:rPr>
      </w:pPr>
      <w:r w:rsidRPr="00B50AB5">
        <w:rPr>
          <w:rFonts w:asciiTheme="majorHAnsi" w:hAnsiTheme="majorHAnsi" w:cstheme="majorHAnsi"/>
          <w:spacing w:val="6"/>
        </w:rPr>
        <w:t xml:space="preserve">Students Accessibility Center: 773-508-3700, </w:t>
      </w:r>
      <w:hyperlink r:id="rId29" w:tgtFrame="_blank" w:history="1">
        <w:r w:rsidRPr="00B50AB5">
          <w:rPr>
            <w:rFonts w:asciiTheme="majorHAnsi" w:hAnsiTheme="majorHAnsi" w:cstheme="majorHAnsi"/>
            <w:color w:val="0000FF"/>
            <w:spacing w:val="6"/>
            <w:u w:val="single"/>
          </w:rPr>
          <w:t>Students Accessibility Center Website</w:t>
        </w:r>
      </w:hyperlink>
    </w:p>
    <w:p w14:paraId="56EFB9BC" w14:textId="77777777" w:rsidR="006042B5" w:rsidRPr="006042B5" w:rsidRDefault="006042B5" w:rsidP="006042B5">
      <w:pPr>
        <w:spacing w:before="120" w:after="120" w:line="240" w:lineRule="auto"/>
        <w:ind w:left="360"/>
        <w:contextualSpacing/>
        <w:rPr>
          <w:rFonts w:asciiTheme="majorHAnsi" w:hAnsiTheme="majorHAnsi" w:cstheme="majorHAnsi"/>
          <w:color w:val="922247"/>
        </w:rPr>
      </w:pPr>
    </w:p>
    <w:p w14:paraId="3029EC2C" w14:textId="7E3F61A6" w:rsidR="006A6F1D" w:rsidRPr="00AA155A" w:rsidRDefault="006A6F1D" w:rsidP="006A6F1D">
      <w:pPr>
        <w:ind w:left="-72" w:right="-72" w:firstLine="72"/>
        <w:rPr>
          <w:rFonts w:asciiTheme="majorHAnsi" w:hAnsiTheme="majorHAnsi" w:cstheme="majorHAnsi"/>
          <w:b/>
          <w:bCs/>
          <w:color w:val="922247"/>
          <w:sz w:val="24"/>
        </w:rPr>
      </w:pPr>
      <w:r w:rsidRPr="00AA155A">
        <w:rPr>
          <w:rFonts w:asciiTheme="majorHAnsi" w:hAnsiTheme="majorHAnsi" w:cstheme="majorHAnsi"/>
          <w:b/>
          <w:bCs/>
          <w:color w:val="922247"/>
          <w:sz w:val="24"/>
        </w:rPr>
        <w:t>ACADEMIC INTEGRITY, GRADING, &amp; ASSIGNMENTS</w:t>
      </w:r>
    </w:p>
    <w:p w14:paraId="299966D0" w14:textId="59AB5565" w:rsidR="006A6F1D" w:rsidRPr="006042B5" w:rsidRDefault="006A6F1D" w:rsidP="006042B5">
      <w:pPr>
        <w:spacing w:before="120" w:after="120" w:line="240" w:lineRule="auto"/>
        <w:ind w:left="-72" w:right="-72" w:firstLine="72"/>
        <w:rPr>
          <w:rFonts w:asciiTheme="majorHAnsi" w:hAnsiTheme="majorHAnsi" w:cstheme="majorHAnsi"/>
          <w:b/>
          <w:bCs/>
        </w:rPr>
      </w:pPr>
      <w:r w:rsidRPr="006042B5">
        <w:rPr>
          <w:rFonts w:asciiTheme="majorHAnsi" w:hAnsiTheme="majorHAnsi" w:cstheme="majorHAnsi"/>
          <w:b/>
          <w:bCs/>
        </w:rPr>
        <w:t>Academic Integrity and Plagiarism</w:t>
      </w:r>
    </w:p>
    <w:p w14:paraId="039A8A7F" w14:textId="57EBB3C1" w:rsidR="006A6F1D"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For additional information on plagiarism, read </w:t>
      </w:r>
      <w:hyperlink r:id="rId30" w:history="1">
        <w:r w:rsidRPr="006042B5">
          <w:rPr>
            <w:rStyle w:val="Hyperlink"/>
            <w:rFonts w:asciiTheme="majorHAnsi" w:hAnsiTheme="majorHAnsi" w:cstheme="majorHAnsi"/>
          </w:rPr>
          <w:t>http://www.plagiarism.org/</w:t>
        </w:r>
      </w:hyperlink>
    </w:p>
    <w:p w14:paraId="0B21BEAE" w14:textId="00B9E928" w:rsidR="006A6F1D"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 xml:space="preserve">Plagiarism is a serious ethical violation, the consequences of which can be </w:t>
      </w:r>
      <w:r w:rsidR="00247C5B">
        <w:rPr>
          <w:rFonts w:asciiTheme="majorHAnsi" w:hAnsiTheme="majorHAnsi" w:cstheme="majorHAnsi"/>
        </w:rPr>
        <w:t xml:space="preserve">a </w:t>
      </w:r>
      <w:r w:rsidRPr="006042B5">
        <w:rPr>
          <w:rFonts w:asciiTheme="majorHAnsi" w:hAnsiTheme="majorHAnsi" w:cstheme="majorHAnsi"/>
        </w:rPr>
        <w:t>failure of a specific class and/or expulsion from the school</w:t>
      </w:r>
      <w:r w:rsidRPr="006042B5">
        <w:rPr>
          <w:rFonts w:asciiTheme="majorHAnsi" w:hAnsiTheme="majorHAnsi" w:cstheme="majorHAnsi"/>
          <w:b/>
          <w:bCs/>
        </w:rPr>
        <w:t xml:space="preserve">.  </w:t>
      </w:r>
      <w:r w:rsidRPr="006042B5">
        <w:rPr>
          <w:rFonts w:asciiTheme="majorHAnsi" w:hAnsiTheme="majorHAnsi" w:cstheme="majorHAnsi"/>
        </w:rPr>
        <w:t xml:space="preserve">Responsibilities of Academic Honesty are detailed in </w:t>
      </w:r>
      <w:hyperlink r:id="rId31" w:history="1">
        <w:r w:rsidRPr="006042B5">
          <w:rPr>
            <w:rStyle w:val="Hyperlink"/>
            <w:rFonts w:asciiTheme="majorHAnsi" w:hAnsiTheme="majorHAnsi" w:cstheme="majorHAnsi"/>
          </w:rPr>
          <w:t>the LUC BSW &amp; MSW Student Handbooks</w:t>
        </w:r>
      </w:hyperlink>
      <w:r w:rsidRPr="006042B5">
        <w:rPr>
          <w:rFonts w:asciiTheme="majorHAnsi"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WPA Statement on Best Practices, retrieved from </w:t>
      </w:r>
      <w:hyperlink r:id="rId32" w:history="1">
        <w:r w:rsidRPr="006042B5">
          <w:rPr>
            <w:rStyle w:val="Hyperlink"/>
            <w:rFonts w:asciiTheme="majorHAnsi" w:hAnsiTheme="majorHAnsi" w:cstheme="majorHAnsi"/>
          </w:rPr>
          <w:t>http://wpacouncil.org/files/wpa-plagiarism-statement.pdf</w:t>
        </w:r>
      </w:hyperlink>
    </w:p>
    <w:p w14:paraId="289CCEA3" w14:textId="77777777" w:rsidR="006A6F1D"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 xml:space="preserve">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w:t>
      </w:r>
      <w:r w:rsidRPr="006042B5">
        <w:rPr>
          <w:rFonts w:asciiTheme="majorHAnsi" w:hAnsiTheme="majorHAnsi" w:cstheme="majorHAnsi"/>
        </w:rPr>
        <w:lastRenderedPageBreak/>
        <w:t>that the student cite the paper. (Example: paper submitted for SOWK 000, Instructor: Wayne Williams, Semester: Spring 2020)</w:t>
      </w:r>
    </w:p>
    <w:p w14:paraId="22B00A40" w14:textId="77777777" w:rsidR="006A6F1D" w:rsidRPr="006042B5" w:rsidRDefault="006A6F1D" w:rsidP="006042B5">
      <w:pPr>
        <w:tabs>
          <w:tab w:val="left" w:pos="0"/>
        </w:tabs>
        <w:spacing w:before="120" w:after="120" w:line="240" w:lineRule="auto"/>
        <w:rPr>
          <w:rFonts w:asciiTheme="majorHAnsi" w:hAnsiTheme="majorHAnsi" w:cstheme="majorHAnsi"/>
          <w:b/>
        </w:rPr>
      </w:pPr>
      <w:r w:rsidRPr="006042B5">
        <w:rPr>
          <w:rFonts w:asciiTheme="majorHAnsi" w:hAnsiTheme="majorHAnsi" w:cstheme="majorHAnsi"/>
          <w:b/>
        </w:rPr>
        <w:t>Turn-It-In</w:t>
      </w:r>
    </w:p>
    <w:p w14:paraId="6BF6E04F" w14:textId="0AF717F5" w:rsidR="006A6F1D" w:rsidRPr="006042B5" w:rsidRDefault="006A6F1D" w:rsidP="006042B5">
      <w:pPr>
        <w:tabs>
          <w:tab w:val="left" w:pos="0"/>
        </w:tabs>
        <w:spacing w:before="120" w:after="120" w:line="240" w:lineRule="auto"/>
        <w:ind w:left="144"/>
        <w:rPr>
          <w:rFonts w:asciiTheme="majorHAnsi" w:hAnsiTheme="majorHAnsi" w:cstheme="majorHAnsi"/>
        </w:rPr>
      </w:pPr>
      <w:r w:rsidRPr="006042B5">
        <w:rPr>
          <w:rFonts w:asciiTheme="majorHAnsi" w:hAnsiTheme="majorHAnsi" w:cstheme="majorHAnsi"/>
          <w:bCs/>
        </w:rPr>
        <w:t>By</w:t>
      </w:r>
      <w:r w:rsidRPr="006042B5">
        <w:rPr>
          <w:rFonts w:asciiTheme="majorHAnsi" w:hAnsiTheme="majorHAnsi" w:cstheme="majorHAnsi"/>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w:t>
      </w:r>
      <w:r w:rsidR="00247C5B">
        <w:rPr>
          <w:rFonts w:asciiTheme="majorHAnsi" w:hAnsiTheme="majorHAnsi" w:cstheme="majorHAnsi"/>
        </w:rPr>
        <w:t xml:space="preserve">the </w:t>
      </w:r>
      <w:r w:rsidRPr="006042B5">
        <w:rPr>
          <w:rFonts w:asciiTheme="majorHAnsi" w:hAnsiTheme="majorHAnsi" w:cstheme="majorHAnsi"/>
        </w:rPr>
        <w:t xml:space="preserve">Turn-it-in database. To learn about their usage policy, visit the </w:t>
      </w:r>
      <w:hyperlink r:id="rId33" w:history="1">
        <w:r w:rsidRPr="006042B5">
          <w:rPr>
            <w:rStyle w:val="Hyperlink"/>
            <w:rFonts w:asciiTheme="majorHAnsi" w:hAnsiTheme="majorHAnsi" w:cstheme="majorHAnsi"/>
          </w:rPr>
          <w:t>Turn-It-In</w:t>
        </w:r>
      </w:hyperlink>
      <w:r w:rsidRPr="006042B5">
        <w:rPr>
          <w:rFonts w:asciiTheme="majorHAnsi" w:hAnsiTheme="majorHAnsi" w:cstheme="majorHAnsi"/>
        </w:rPr>
        <w:t xml:space="preserve"> website.</w:t>
      </w:r>
    </w:p>
    <w:p w14:paraId="790819FA" w14:textId="77777777" w:rsidR="006A6F1D" w:rsidRPr="006042B5" w:rsidRDefault="006A6F1D" w:rsidP="006042B5">
      <w:pPr>
        <w:spacing w:before="120" w:after="120" w:line="240" w:lineRule="auto"/>
        <w:rPr>
          <w:rFonts w:asciiTheme="majorHAnsi" w:hAnsiTheme="majorHAnsi" w:cstheme="majorHAnsi"/>
          <w:b/>
        </w:rPr>
      </w:pPr>
      <w:r w:rsidRPr="006042B5">
        <w:rPr>
          <w:rFonts w:asciiTheme="majorHAnsi" w:hAnsiTheme="majorHAnsi" w:cstheme="majorHAnsi"/>
          <w:b/>
        </w:rPr>
        <w:t>Academic Warnings</w:t>
      </w:r>
    </w:p>
    <w:p w14:paraId="7EA4E581" w14:textId="6ED45723" w:rsidR="00896D15" w:rsidRPr="006042B5" w:rsidRDefault="006A6F1D" w:rsidP="006042B5">
      <w:pPr>
        <w:spacing w:before="120" w:after="120" w:line="240" w:lineRule="auto"/>
        <w:ind w:left="144"/>
        <w:rPr>
          <w:rFonts w:asciiTheme="majorHAnsi" w:hAnsiTheme="majorHAnsi" w:cstheme="majorHAnsi"/>
        </w:rPr>
      </w:pPr>
      <w:r w:rsidRPr="006042B5">
        <w:rPr>
          <w:rFonts w:asciiTheme="majorHAnsi"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4" w:history="1">
        <w:r w:rsidRPr="006042B5">
          <w:rPr>
            <w:rStyle w:val="Hyperlink"/>
            <w:rFonts w:asciiTheme="majorHAnsi" w:eastAsia="SimSun" w:hAnsiTheme="majorHAnsi" w:cstheme="majorHAnsi"/>
            <w:spacing w:val="6"/>
          </w:rPr>
          <w:t>LUC SSW BSW &amp; MSW Student Handbook</w:t>
        </w:r>
      </w:hyperlink>
      <w:r w:rsidRPr="006042B5">
        <w:rPr>
          <w:rStyle w:val="Hyperlink"/>
          <w:rFonts w:asciiTheme="majorHAnsi" w:eastAsia="SimSun" w:hAnsiTheme="majorHAnsi" w:cstheme="majorHAnsi"/>
          <w:spacing w:val="6"/>
        </w:rPr>
        <w:t>s</w:t>
      </w:r>
      <w:r w:rsidRPr="006042B5">
        <w:rPr>
          <w:rFonts w:asciiTheme="majorHAnsi" w:eastAsia="SimSun" w:hAnsiTheme="majorHAnsi" w:cstheme="majorHAnsi"/>
          <w:spacing w:val="6"/>
        </w:rPr>
        <w:t xml:space="preserve"> </w:t>
      </w:r>
      <w:r w:rsidRPr="006042B5">
        <w:rPr>
          <w:rFonts w:asciiTheme="majorHAnsi" w:hAnsiTheme="majorHAnsi" w:cstheme="majorHAnsi"/>
        </w:rPr>
        <w:t xml:space="preserve">for additional information regarding academic concerns. </w:t>
      </w:r>
    </w:p>
    <w:p w14:paraId="21006966" w14:textId="0142E702" w:rsidR="006A6F1D" w:rsidRPr="006042B5" w:rsidRDefault="006A6F1D" w:rsidP="007E7859">
      <w:pPr>
        <w:pStyle w:val="ListParagraph"/>
        <w:spacing w:before="120" w:after="120" w:line="240" w:lineRule="auto"/>
        <w:ind w:left="0"/>
        <w:rPr>
          <w:rFonts w:asciiTheme="majorHAnsi" w:hAnsiTheme="majorHAnsi" w:cstheme="majorHAnsi"/>
          <w:b/>
        </w:rPr>
      </w:pPr>
      <w:r w:rsidRPr="006042B5">
        <w:rPr>
          <w:rFonts w:asciiTheme="majorHAnsi" w:hAnsiTheme="majorHAnsi" w:cstheme="majorHAnsi"/>
          <w:b/>
        </w:rPr>
        <w:t>Grading Criteria</w:t>
      </w:r>
    </w:p>
    <w:p w14:paraId="06217B35" w14:textId="6097C018" w:rsidR="007E7859" w:rsidRPr="007E7859" w:rsidRDefault="003929A8" w:rsidP="007E7859">
      <w:pPr>
        <w:shd w:val="clear" w:color="auto" w:fill="FFFFFF"/>
        <w:spacing w:before="120" w:after="12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w:t>
      </w:r>
      <w:r w:rsidR="007E7859">
        <w:rPr>
          <w:rFonts w:ascii="Calibri Light" w:eastAsia="Times New Roman" w:hAnsi="Calibri Light" w:cs="Calibri Light"/>
          <w:color w:val="212121"/>
        </w:rPr>
        <w:t xml:space="preserve"> </w:t>
      </w:r>
      <w:r w:rsidRPr="00263D57">
        <w:rPr>
          <w:rFonts w:ascii="Calibri Light" w:eastAsia="Times New Roman" w:hAnsi="Calibri Light" w:cs="Calibri Light"/>
          <w:color w:val="212121"/>
        </w:rPr>
        <w:t>The Description of Assignments section of this document reviews the specific points for each assignment.</w:t>
      </w:r>
      <w:r w:rsidR="007E7859">
        <w:rPr>
          <w:rFonts w:ascii="Calibri Light" w:eastAsia="Times New Roman" w:hAnsi="Calibri Light" w:cs="Calibri Light"/>
          <w:color w:val="212121"/>
        </w:rPr>
        <w:t xml:space="preserve"> </w:t>
      </w:r>
      <w:r w:rsidRPr="00263D57">
        <w:rPr>
          <w:rFonts w:ascii="Calibri Light" w:eastAsia="Times New Roman" w:hAnsi="Calibri Light" w:cs="Calibri Light"/>
          <w:color w:val="212121"/>
        </w:rPr>
        <w:t>In general, letter grades are assigned using the criteria below:</w:t>
      </w:r>
    </w:p>
    <w:tbl>
      <w:tblPr>
        <w:tblStyle w:val="TableGrid"/>
        <w:tblW w:w="9985" w:type="dxa"/>
        <w:tblLook w:val="04A0" w:firstRow="1" w:lastRow="0" w:firstColumn="1" w:lastColumn="0" w:noHBand="0" w:noVBand="1"/>
      </w:tblPr>
      <w:tblGrid>
        <w:gridCol w:w="1389"/>
        <w:gridCol w:w="6346"/>
        <w:gridCol w:w="2250"/>
      </w:tblGrid>
      <w:tr w:rsidR="003929A8" w:rsidRPr="00263D57" w14:paraId="62443C44" w14:textId="77777777" w:rsidTr="00DB254C">
        <w:trPr>
          <w:trHeight w:val="288"/>
          <w:tblHeader/>
        </w:trPr>
        <w:tc>
          <w:tcPr>
            <w:tcW w:w="1389" w:type="dxa"/>
            <w:hideMark/>
          </w:tcPr>
          <w:p w14:paraId="5B1AA0AE" w14:textId="77777777" w:rsidR="003929A8" w:rsidRPr="00263D57" w:rsidRDefault="003929A8" w:rsidP="00DB254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279327A7" w14:textId="77777777" w:rsidR="003929A8" w:rsidRPr="00263D57" w:rsidRDefault="003929A8" w:rsidP="00DB254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5364EF7C" w14:textId="77777777" w:rsidR="003929A8" w:rsidRPr="00263D57" w:rsidRDefault="003929A8" w:rsidP="00DB254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3929A8" w:rsidRPr="00263D57" w14:paraId="08D0E1F5" w14:textId="77777777" w:rsidTr="00DB254C">
        <w:trPr>
          <w:tblHeader/>
        </w:trPr>
        <w:tc>
          <w:tcPr>
            <w:tcW w:w="1389" w:type="dxa"/>
            <w:vAlign w:val="center"/>
            <w:hideMark/>
          </w:tcPr>
          <w:p w14:paraId="6EC8DCD5"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2ACCD94E"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0FB95DFB"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4.00 /96-100%</w:t>
            </w:r>
          </w:p>
          <w:p w14:paraId="55571516"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3929A8" w:rsidRPr="00263D57" w14:paraId="3DC43AF6" w14:textId="77777777" w:rsidTr="00DB254C">
        <w:trPr>
          <w:tblHeader/>
        </w:trPr>
        <w:tc>
          <w:tcPr>
            <w:tcW w:w="1389" w:type="dxa"/>
            <w:vAlign w:val="center"/>
            <w:hideMark/>
          </w:tcPr>
          <w:p w14:paraId="50793C3C"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5608A788"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250FEF2A"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6F56E12B"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73091053"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2.67/80-83%</w:t>
            </w:r>
          </w:p>
        </w:tc>
      </w:tr>
      <w:tr w:rsidR="003929A8" w:rsidRPr="00263D57" w14:paraId="3464E2CF" w14:textId="77777777" w:rsidTr="00DB254C">
        <w:trPr>
          <w:tblHeader/>
        </w:trPr>
        <w:tc>
          <w:tcPr>
            <w:tcW w:w="1389" w:type="dxa"/>
            <w:vAlign w:val="center"/>
            <w:hideMark/>
          </w:tcPr>
          <w:p w14:paraId="2C16BE1E"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7F885B10"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2D1A70AC"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6A6133B3"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2E09433A"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1.67/68-71%</w:t>
            </w:r>
          </w:p>
        </w:tc>
      </w:tr>
      <w:tr w:rsidR="003929A8" w:rsidRPr="00263D57" w14:paraId="0ED158AB" w14:textId="77777777" w:rsidTr="00DB254C">
        <w:trPr>
          <w:tblHeader/>
        </w:trPr>
        <w:tc>
          <w:tcPr>
            <w:tcW w:w="1389" w:type="dxa"/>
            <w:vAlign w:val="center"/>
            <w:hideMark/>
          </w:tcPr>
          <w:p w14:paraId="1D5DF7C4"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38F6E881"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73426F95"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56BF9559"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3929A8" w:rsidRPr="00263D57" w14:paraId="63346885" w14:textId="77777777" w:rsidTr="00DB254C">
        <w:trPr>
          <w:tblHeader/>
        </w:trPr>
        <w:tc>
          <w:tcPr>
            <w:tcW w:w="1389" w:type="dxa"/>
            <w:vAlign w:val="center"/>
            <w:hideMark/>
          </w:tcPr>
          <w:p w14:paraId="104349BA"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0070217E"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68C185BC" w14:textId="77777777" w:rsidR="003929A8" w:rsidRPr="00263D57" w:rsidRDefault="003929A8" w:rsidP="00DB254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F  0/Below 60%</w:t>
            </w:r>
          </w:p>
        </w:tc>
      </w:tr>
      <w:tr w:rsidR="003929A8" w:rsidRPr="00263D57" w14:paraId="055D3FC0" w14:textId="77777777" w:rsidTr="00DB254C">
        <w:trPr>
          <w:tblHeader/>
        </w:trPr>
        <w:tc>
          <w:tcPr>
            <w:tcW w:w="1389" w:type="dxa"/>
            <w:vAlign w:val="center"/>
            <w:hideMark/>
          </w:tcPr>
          <w:p w14:paraId="6C9A98D8" w14:textId="77777777" w:rsidR="003929A8" w:rsidRPr="00263D57" w:rsidRDefault="003929A8" w:rsidP="00DB254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01E69135" w14:textId="77777777" w:rsidR="003929A8" w:rsidRPr="00263D57" w:rsidRDefault="003929A8" w:rsidP="00DB254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57155D55" w14:textId="77777777" w:rsidR="007E7859" w:rsidRPr="00247C5B" w:rsidRDefault="007E7859" w:rsidP="007E7859">
      <w:pPr>
        <w:pStyle w:val="Heading3"/>
        <w:spacing w:before="120" w:after="120"/>
        <w:rPr>
          <w:rFonts w:cstheme="majorHAnsi"/>
          <w:b/>
          <w:i/>
          <w:color w:val="000000" w:themeColor="text1"/>
          <w:sz w:val="22"/>
          <w:szCs w:val="22"/>
        </w:rPr>
      </w:pPr>
      <w:r w:rsidRPr="00247C5B">
        <w:rPr>
          <w:rFonts w:cstheme="majorHAnsi"/>
          <w:b/>
          <w:color w:val="000000" w:themeColor="text1"/>
          <w:spacing w:val="6"/>
          <w:sz w:val="22"/>
          <w:szCs w:val="22"/>
        </w:rPr>
        <w:lastRenderedPageBreak/>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7E7859" w:rsidRPr="00A246EA" w14:paraId="3AA2613E" w14:textId="77777777" w:rsidTr="00DB254C">
        <w:trPr>
          <w:trHeight w:val="14"/>
          <w:tblHeader/>
          <w:jc w:val="center"/>
        </w:trPr>
        <w:tc>
          <w:tcPr>
            <w:tcW w:w="1036" w:type="dxa"/>
            <w:shd w:val="clear" w:color="auto" w:fill="FFFFFF" w:themeFill="background1"/>
            <w:vAlign w:val="center"/>
          </w:tcPr>
          <w:p w14:paraId="69AA6E2D" w14:textId="77777777" w:rsidR="007E7859" w:rsidRPr="00330E00" w:rsidRDefault="007E7859" w:rsidP="00DB254C">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4A51AE8E" w14:textId="77777777" w:rsidR="007E7859" w:rsidRPr="00330E00" w:rsidRDefault="007E7859" w:rsidP="00DB254C">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7E7859" w:rsidRPr="00A246EA" w14:paraId="2A8A234C" w14:textId="77777777" w:rsidTr="00DB254C">
        <w:trPr>
          <w:trHeight w:val="20"/>
          <w:tblHeader/>
          <w:jc w:val="center"/>
        </w:trPr>
        <w:tc>
          <w:tcPr>
            <w:tcW w:w="1036" w:type="dxa"/>
            <w:shd w:val="clear" w:color="auto" w:fill="FFFFFF" w:themeFill="background1"/>
            <w:vAlign w:val="center"/>
          </w:tcPr>
          <w:p w14:paraId="02795155"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0331DA23"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7E7859" w:rsidRPr="00A246EA" w14:paraId="478181F7" w14:textId="77777777" w:rsidTr="00DB254C">
        <w:trPr>
          <w:trHeight w:val="20"/>
          <w:tblHeader/>
          <w:jc w:val="center"/>
        </w:trPr>
        <w:tc>
          <w:tcPr>
            <w:tcW w:w="1036" w:type="dxa"/>
            <w:shd w:val="clear" w:color="auto" w:fill="FFFFFF" w:themeFill="background1"/>
            <w:vAlign w:val="center"/>
          </w:tcPr>
          <w:p w14:paraId="1078D607"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06B777F4"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7E7859" w:rsidRPr="00A246EA" w14:paraId="12120EE5" w14:textId="77777777" w:rsidTr="00DB254C">
        <w:trPr>
          <w:trHeight w:val="20"/>
          <w:tblHeader/>
          <w:jc w:val="center"/>
        </w:trPr>
        <w:tc>
          <w:tcPr>
            <w:tcW w:w="1036" w:type="dxa"/>
            <w:shd w:val="clear" w:color="auto" w:fill="FFFFFF" w:themeFill="background1"/>
            <w:vAlign w:val="center"/>
          </w:tcPr>
          <w:p w14:paraId="4E63AEA8"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61303946"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7E7859" w:rsidRPr="00A246EA" w14:paraId="166B580C" w14:textId="77777777" w:rsidTr="00DB254C">
        <w:trPr>
          <w:trHeight w:val="20"/>
          <w:tblHeader/>
          <w:jc w:val="center"/>
        </w:trPr>
        <w:tc>
          <w:tcPr>
            <w:tcW w:w="1036" w:type="dxa"/>
            <w:shd w:val="clear" w:color="auto" w:fill="FFFFFF" w:themeFill="background1"/>
            <w:vAlign w:val="center"/>
          </w:tcPr>
          <w:p w14:paraId="59D22036"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6D2A9A38"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7E7859" w:rsidRPr="00A246EA" w14:paraId="3783FA48" w14:textId="77777777" w:rsidTr="00DB254C">
        <w:trPr>
          <w:trHeight w:val="20"/>
          <w:tblHeader/>
          <w:jc w:val="center"/>
        </w:trPr>
        <w:tc>
          <w:tcPr>
            <w:tcW w:w="1036" w:type="dxa"/>
            <w:shd w:val="clear" w:color="auto" w:fill="FFFFFF" w:themeFill="background1"/>
            <w:vAlign w:val="center"/>
          </w:tcPr>
          <w:p w14:paraId="2F1D8805"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1AF8027B"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7E7859" w:rsidRPr="00A246EA" w14:paraId="7F6181E9" w14:textId="77777777" w:rsidTr="00DB254C">
        <w:trPr>
          <w:trHeight w:val="20"/>
          <w:tblHeader/>
          <w:jc w:val="center"/>
        </w:trPr>
        <w:tc>
          <w:tcPr>
            <w:tcW w:w="1036" w:type="dxa"/>
            <w:shd w:val="clear" w:color="auto" w:fill="FFFFFF" w:themeFill="background1"/>
            <w:vAlign w:val="center"/>
          </w:tcPr>
          <w:p w14:paraId="5D256E93"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000FF61E"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7E7859" w:rsidRPr="00A246EA" w14:paraId="10859EAE" w14:textId="77777777" w:rsidTr="00DB254C">
        <w:trPr>
          <w:trHeight w:val="20"/>
          <w:tblHeader/>
          <w:jc w:val="center"/>
        </w:trPr>
        <w:tc>
          <w:tcPr>
            <w:tcW w:w="1036" w:type="dxa"/>
            <w:shd w:val="clear" w:color="auto" w:fill="FFFFFF" w:themeFill="background1"/>
            <w:vAlign w:val="center"/>
          </w:tcPr>
          <w:p w14:paraId="5AC1BD82"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55900110"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7E7859" w:rsidRPr="00A246EA" w14:paraId="55DD3856" w14:textId="77777777" w:rsidTr="00DB254C">
        <w:trPr>
          <w:trHeight w:val="20"/>
          <w:tblHeader/>
          <w:jc w:val="center"/>
        </w:trPr>
        <w:tc>
          <w:tcPr>
            <w:tcW w:w="1036" w:type="dxa"/>
            <w:shd w:val="clear" w:color="auto" w:fill="FFFFFF" w:themeFill="background1"/>
            <w:vAlign w:val="center"/>
          </w:tcPr>
          <w:p w14:paraId="712520D8"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386A020B"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7E7859" w:rsidRPr="00A246EA" w14:paraId="4A1A48B9" w14:textId="77777777" w:rsidTr="00DB254C">
        <w:trPr>
          <w:trHeight w:val="20"/>
          <w:tblHeader/>
          <w:jc w:val="center"/>
        </w:trPr>
        <w:tc>
          <w:tcPr>
            <w:tcW w:w="1036" w:type="dxa"/>
            <w:shd w:val="clear" w:color="auto" w:fill="FFFFFF" w:themeFill="background1"/>
            <w:vAlign w:val="center"/>
          </w:tcPr>
          <w:p w14:paraId="22C71B01"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4B63AE15"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7E7859" w:rsidRPr="00A246EA" w14:paraId="43FA8B34" w14:textId="77777777" w:rsidTr="00DB254C">
        <w:trPr>
          <w:trHeight w:val="20"/>
          <w:tblHeader/>
          <w:jc w:val="center"/>
        </w:trPr>
        <w:tc>
          <w:tcPr>
            <w:tcW w:w="1036" w:type="dxa"/>
            <w:shd w:val="clear" w:color="auto" w:fill="FFFFFF" w:themeFill="background1"/>
            <w:vAlign w:val="center"/>
          </w:tcPr>
          <w:p w14:paraId="6D64CD07"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4F1A6DFE"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7E7859" w:rsidRPr="00A246EA" w14:paraId="31994924" w14:textId="77777777" w:rsidTr="00DB254C">
        <w:trPr>
          <w:trHeight w:val="174"/>
          <w:tblHeader/>
          <w:jc w:val="center"/>
        </w:trPr>
        <w:tc>
          <w:tcPr>
            <w:tcW w:w="1036" w:type="dxa"/>
            <w:shd w:val="clear" w:color="auto" w:fill="FFFFFF" w:themeFill="background1"/>
            <w:vAlign w:val="center"/>
          </w:tcPr>
          <w:p w14:paraId="7DBB333D" w14:textId="77777777" w:rsidR="007E7859" w:rsidRPr="00803257" w:rsidRDefault="007E7859" w:rsidP="00DB254C">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11A993D7" w14:textId="77777777" w:rsidR="007E7859" w:rsidRPr="00803257" w:rsidRDefault="007E7859" w:rsidP="00DB254C">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7BD0FD60" w14:textId="77777777" w:rsidR="001B4284" w:rsidRDefault="001B4284" w:rsidP="003929A8">
      <w:pPr>
        <w:spacing w:before="120" w:after="120" w:line="240" w:lineRule="auto"/>
        <w:rPr>
          <w:rFonts w:asciiTheme="majorHAnsi" w:hAnsiTheme="majorHAnsi" w:cstheme="majorHAnsi"/>
          <w:b/>
          <w:spacing w:val="6"/>
        </w:rPr>
      </w:pPr>
    </w:p>
    <w:p w14:paraId="0DA0B8CD" w14:textId="10006FE2" w:rsidR="006A6F1D" w:rsidRPr="003929A8" w:rsidRDefault="006A6F1D" w:rsidP="003929A8">
      <w:pPr>
        <w:spacing w:before="120" w:after="120" w:line="240" w:lineRule="auto"/>
        <w:rPr>
          <w:rFonts w:asciiTheme="majorHAnsi" w:hAnsiTheme="majorHAnsi" w:cstheme="majorHAnsi"/>
          <w:b/>
          <w:spacing w:val="6"/>
        </w:rPr>
      </w:pPr>
      <w:r w:rsidRPr="003929A8">
        <w:rPr>
          <w:rFonts w:asciiTheme="majorHAnsi" w:hAnsiTheme="majorHAnsi" w:cstheme="majorHAnsi"/>
          <w:b/>
          <w:spacing w:val="6"/>
        </w:rPr>
        <w:t>Grade of “Incomplete”</w:t>
      </w:r>
    </w:p>
    <w:p w14:paraId="1245ABE5" w14:textId="79C10B1E" w:rsidR="006A6F1D" w:rsidRPr="003929A8" w:rsidRDefault="006A6F1D" w:rsidP="003929A8">
      <w:pPr>
        <w:spacing w:before="120" w:after="120" w:line="240" w:lineRule="auto"/>
        <w:ind w:left="144"/>
        <w:rPr>
          <w:rFonts w:asciiTheme="majorHAnsi" w:hAnsiTheme="majorHAnsi" w:cstheme="majorHAnsi"/>
          <w:spacing w:val="6"/>
        </w:rPr>
      </w:pPr>
      <w:r w:rsidRPr="003929A8">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15E038A6" w14:textId="77777777" w:rsidR="006A6F1D" w:rsidRPr="003929A8" w:rsidRDefault="006A6F1D" w:rsidP="003929A8">
      <w:pPr>
        <w:spacing w:before="120" w:after="120" w:line="240" w:lineRule="auto"/>
        <w:rPr>
          <w:rFonts w:asciiTheme="majorHAnsi" w:hAnsiTheme="majorHAnsi" w:cstheme="majorHAnsi"/>
          <w:b/>
          <w:spacing w:val="6"/>
        </w:rPr>
      </w:pPr>
      <w:r w:rsidRPr="003929A8">
        <w:rPr>
          <w:rFonts w:asciiTheme="majorHAnsi" w:hAnsiTheme="majorHAnsi" w:cstheme="majorHAnsi"/>
          <w:b/>
          <w:spacing w:val="6"/>
        </w:rPr>
        <w:t xml:space="preserve">Use of Rubrics as an Evaluation Tool </w:t>
      </w:r>
    </w:p>
    <w:p w14:paraId="0DBE9E86" w14:textId="2BC81A3D" w:rsidR="006A6F1D" w:rsidRPr="003929A8" w:rsidRDefault="006A6F1D" w:rsidP="003929A8">
      <w:pPr>
        <w:spacing w:before="120" w:after="120" w:line="240" w:lineRule="auto"/>
        <w:ind w:left="144"/>
        <w:rPr>
          <w:rFonts w:asciiTheme="majorHAnsi" w:hAnsiTheme="majorHAnsi" w:cstheme="majorHAnsi"/>
          <w:spacing w:val="6"/>
        </w:rPr>
      </w:pPr>
      <w:r w:rsidRPr="003929A8">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64D43EB6" w14:textId="77777777" w:rsidR="006A6F1D" w:rsidRPr="003929A8" w:rsidRDefault="006A6F1D" w:rsidP="003929A8">
      <w:pPr>
        <w:spacing w:before="120" w:after="120" w:line="240" w:lineRule="auto"/>
        <w:rPr>
          <w:rFonts w:asciiTheme="majorHAnsi" w:hAnsiTheme="majorHAnsi" w:cstheme="majorHAnsi"/>
          <w:b/>
          <w:spacing w:val="6"/>
        </w:rPr>
      </w:pPr>
      <w:r w:rsidRPr="003929A8">
        <w:rPr>
          <w:rFonts w:asciiTheme="majorHAnsi" w:hAnsiTheme="majorHAnsi" w:cstheme="majorHAnsi"/>
          <w:b/>
          <w:spacing w:val="6"/>
        </w:rPr>
        <w:t xml:space="preserve">Facilitator Feedback to Learners </w:t>
      </w:r>
    </w:p>
    <w:p w14:paraId="4967AC44" w14:textId="61157557" w:rsidR="006A6F1D" w:rsidRPr="001344D4" w:rsidRDefault="006A6F1D" w:rsidP="001344D4">
      <w:pPr>
        <w:spacing w:before="120" w:after="120" w:line="240" w:lineRule="auto"/>
        <w:ind w:left="144"/>
        <w:rPr>
          <w:rFonts w:asciiTheme="majorHAnsi" w:hAnsiTheme="majorHAnsi" w:cstheme="majorHAnsi"/>
          <w:b/>
          <w:bCs/>
        </w:rPr>
      </w:pPr>
      <w:r w:rsidRPr="003929A8">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DAA544D" w14:textId="3C93ADC3" w:rsidR="38AAAF90" w:rsidRPr="00AA155A" w:rsidRDefault="38AAAF90" w:rsidP="001344D4">
      <w:pPr>
        <w:spacing w:before="120" w:after="120" w:line="240" w:lineRule="auto"/>
        <w:rPr>
          <w:rFonts w:asciiTheme="majorHAnsi" w:hAnsiTheme="majorHAnsi" w:cstheme="majorHAnsi"/>
          <w:color w:val="922247"/>
          <w:sz w:val="24"/>
        </w:rPr>
      </w:pPr>
      <w:r w:rsidRPr="00AA155A">
        <w:rPr>
          <w:rFonts w:asciiTheme="majorHAnsi" w:eastAsia="Calibri" w:hAnsiTheme="majorHAnsi" w:cstheme="majorHAnsi"/>
          <w:b/>
          <w:bCs/>
          <w:color w:val="922247"/>
          <w:sz w:val="24"/>
        </w:rPr>
        <w:t>DESCRIPTION OF ASSIGNMENTS</w:t>
      </w:r>
    </w:p>
    <w:p w14:paraId="2F1A97B4" w14:textId="6223C23E" w:rsidR="001344D4" w:rsidRPr="00056477" w:rsidRDefault="4D853B59"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rPr>
        <w:t xml:space="preserve">All assignments must be submitted via Sakai by the start of class on the due date. All assignments have mandatory due dates.  Assignments submitted after those dates may not receive comments from the instructor, but rather just a final grade with an appropriate reduction in grade (one grade point per day). AGAIN, if a student chooses to submit an assignment after a mandatory due date, no feedback will be provided.  To receive a passing grade for the course, </w:t>
      </w:r>
      <w:r w:rsidRPr="001344D4">
        <w:rPr>
          <w:rFonts w:asciiTheme="majorHAnsi" w:eastAsia="Calibri" w:hAnsiTheme="majorHAnsi" w:cstheme="majorHAnsi"/>
          <w:b/>
          <w:bCs/>
          <w:i/>
          <w:iCs/>
        </w:rPr>
        <w:t>all</w:t>
      </w:r>
      <w:r w:rsidRPr="001344D4">
        <w:rPr>
          <w:rFonts w:asciiTheme="majorHAnsi" w:eastAsia="Calibri" w:hAnsiTheme="majorHAnsi" w:cstheme="majorHAnsi"/>
          <w:i/>
          <w:iCs/>
        </w:rPr>
        <w:t xml:space="preserve"> assignments must be completed and submitted</w:t>
      </w:r>
      <w:r w:rsidRPr="001344D4">
        <w:rPr>
          <w:rFonts w:asciiTheme="majorHAnsi" w:eastAsia="Calibri" w:hAnsiTheme="majorHAnsi" w:cstheme="majorHAnsi"/>
        </w:rPr>
        <w:t xml:space="preserve">.   </w:t>
      </w:r>
    </w:p>
    <w:p w14:paraId="32480F95" w14:textId="38FF2426" w:rsidR="007D2381" w:rsidRPr="001344D4" w:rsidRDefault="006C0CDB"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b/>
          <w:bCs/>
        </w:rPr>
        <w:t xml:space="preserve">Attendance </w:t>
      </w:r>
      <w:r w:rsidR="007D2381" w:rsidRPr="001344D4">
        <w:rPr>
          <w:rFonts w:asciiTheme="majorHAnsi" w:eastAsia="Calibri" w:hAnsiTheme="majorHAnsi" w:cstheme="majorHAnsi"/>
          <w:b/>
          <w:bCs/>
        </w:rPr>
        <w:t xml:space="preserve">and </w:t>
      </w:r>
      <w:r w:rsidR="0E77D611" w:rsidRPr="001344D4">
        <w:rPr>
          <w:rFonts w:asciiTheme="majorHAnsi" w:eastAsia="Calibri" w:hAnsiTheme="majorHAnsi" w:cstheme="majorHAnsi"/>
          <w:b/>
          <w:bCs/>
        </w:rPr>
        <w:t>Participation (10%):</w:t>
      </w:r>
      <w:r w:rsidR="0E77D611" w:rsidRPr="001344D4">
        <w:rPr>
          <w:rFonts w:asciiTheme="majorHAnsi" w:eastAsia="Calibri" w:hAnsiTheme="majorHAnsi" w:cstheme="majorHAnsi"/>
        </w:rPr>
        <w:t xml:space="preserve"> </w:t>
      </w:r>
    </w:p>
    <w:p w14:paraId="0E5C7B1F" w14:textId="1F937A4A" w:rsidR="007D2381" w:rsidRPr="001344D4" w:rsidRDefault="007D2381"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rPr>
        <w:t>Attendance at all class sessions is mandatory. Students are expected to notify the instructor in advance</w:t>
      </w:r>
      <w:r w:rsidR="0006018A" w:rsidRPr="001344D4">
        <w:rPr>
          <w:rFonts w:asciiTheme="majorHAnsi" w:eastAsia="Calibri" w:hAnsiTheme="majorHAnsi" w:cstheme="majorHAnsi"/>
        </w:rPr>
        <w:t xml:space="preserve">, via email, when unable to attend a class. More than </w:t>
      </w:r>
      <w:r w:rsidR="0006018A" w:rsidRPr="001344D4">
        <w:rPr>
          <w:rFonts w:asciiTheme="majorHAnsi" w:eastAsia="Calibri" w:hAnsiTheme="majorHAnsi" w:cstheme="majorHAnsi"/>
          <w:highlight w:val="yellow"/>
        </w:rPr>
        <w:t>X</w:t>
      </w:r>
      <w:r w:rsidR="0006018A" w:rsidRPr="001344D4">
        <w:rPr>
          <w:rFonts w:asciiTheme="majorHAnsi" w:eastAsia="Calibri" w:hAnsiTheme="majorHAnsi" w:cstheme="majorHAnsi"/>
        </w:rPr>
        <w:t xml:space="preserve"> absences per </w:t>
      </w:r>
      <w:r w:rsidR="00A0305B" w:rsidRPr="001344D4">
        <w:rPr>
          <w:rFonts w:asciiTheme="majorHAnsi" w:eastAsia="Calibri" w:hAnsiTheme="majorHAnsi" w:cstheme="majorHAnsi"/>
        </w:rPr>
        <w:t>semester for any reason</w:t>
      </w:r>
      <w:r w:rsidR="0006018A" w:rsidRPr="001344D4">
        <w:rPr>
          <w:rFonts w:asciiTheme="majorHAnsi" w:eastAsia="Calibri" w:hAnsiTheme="majorHAnsi" w:cstheme="majorHAnsi"/>
        </w:rPr>
        <w:t xml:space="preserve"> will result in a reduction of participation points.</w:t>
      </w:r>
    </w:p>
    <w:p w14:paraId="67778A72" w14:textId="37E794C4" w:rsidR="00934AEE" w:rsidRPr="00056477" w:rsidRDefault="0E77D611" w:rsidP="001344D4">
      <w:pPr>
        <w:spacing w:before="120" w:after="120" w:line="240" w:lineRule="auto"/>
        <w:rPr>
          <w:rFonts w:asciiTheme="majorHAnsi" w:hAnsiTheme="majorHAnsi" w:cstheme="majorHAnsi"/>
        </w:rPr>
      </w:pPr>
      <w:r w:rsidRPr="001344D4">
        <w:rPr>
          <w:rFonts w:asciiTheme="majorHAnsi" w:eastAsia="Calibri" w:hAnsiTheme="majorHAnsi" w:cstheme="majorHAnsi"/>
        </w:rPr>
        <w:lastRenderedPageBreak/>
        <w:t xml:space="preserve">Student participation in synchronous and asynchronous discussions via comments and questions to peers and the instructor is essential to establishing a collaborative learning environment and therefore will </w:t>
      </w:r>
      <w:r w:rsidR="00F25444">
        <w:rPr>
          <w:rFonts w:asciiTheme="majorHAnsi" w:eastAsia="Calibri" w:hAnsiTheme="majorHAnsi" w:cstheme="majorHAnsi"/>
        </w:rPr>
        <w:t>be assessed</w:t>
      </w:r>
      <w:r w:rsidRPr="001344D4">
        <w:rPr>
          <w:rFonts w:asciiTheme="majorHAnsi" w:eastAsia="Calibri" w:hAnsiTheme="majorHAnsi" w:cstheme="majorHAnsi"/>
        </w:rPr>
        <w:t xml:space="preserve"> as part of the final grade. Various ungraded assignments (e.g., forum posts) and attendance will also contribute to the participation grade. Please see the Sakai site for this course and the syllabus and rubrics tab for a grading rubric.</w:t>
      </w:r>
    </w:p>
    <w:p w14:paraId="0EE12C14" w14:textId="78DD93AF" w:rsidR="2DCAA8B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b/>
          <w:bCs/>
        </w:rPr>
        <w:t>Conceptualization of assessment</w:t>
      </w:r>
      <w:r w:rsidR="78AA4F7B" w:rsidRPr="001344D4">
        <w:rPr>
          <w:rFonts w:asciiTheme="majorHAnsi" w:eastAsiaTheme="minorEastAsia" w:hAnsiTheme="majorHAnsi" w:cstheme="majorHAnsi"/>
          <w:b/>
          <w:bCs/>
        </w:rPr>
        <w:t xml:space="preserve"> </w:t>
      </w:r>
      <w:r w:rsidR="70807E46" w:rsidRPr="001344D4">
        <w:rPr>
          <w:rFonts w:asciiTheme="majorHAnsi" w:eastAsiaTheme="minorEastAsia" w:hAnsiTheme="majorHAnsi" w:cstheme="majorHAnsi"/>
          <w:b/>
          <w:bCs/>
        </w:rPr>
        <w:t>(</w:t>
      </w:r>
      <w:r w:rsidR="6DCA48A9" w:rsidRPr="001344D4">
        <w:rPr>
          <w:rFonts w:asciiTheme="majorHAnsi" w:eastAsiaTheme="minorEastAsia" w:hAnsiTheme="majorHAnsi" w:cstheme="majorHAnsi"/>
          <w:b/>
          <w:bCs/>
        </w:rPr>
        <w:t>20</w:t>
      </w:r>
      <w:r w:rsidR="70807E46" w:rsidRPr="001344D4">
        <w:rPr>
          <w:rFonts w:asciiTheme="majorHAnsi" w:eastAsiaTheme="minorEastAsia" w:hAnsiTheme="majorHAnsi" w:cstheme="majorHAnsi"/>
          <w:b/>
          <w:bCs/>
        </w:rPr>
        <w:t xml:space="preserve">%) </w:t>
      </w:r>
      <w:r w:rsidR="78AA4F7B" w:rsidRPr="001344D4">
        <w:rPr>
          <w:rFonts w:asciiTheme="majorHAnsi" w:eastAsiaTheme="minorEastAsia" w:hAnsiTheme="majorHAnsi" w:cstheme="majorHAnsi"/>
        </w:rPr>
        <w:t>(3-4 pages)</w:t>
      </w:r>
      <w:r w:rsidRPr="001344D4">
        <w:rPr>
          <w:rFonts w:asciiTheme="majorHAnsi" w:hAnsiTheme="majorHAnsi" w:cstheme="majorHAnsi"/>
        </w:rPr>
        <w:tab/>
      </w:r>
      <w:r w:rsidRPr="001344D4">
        <w:rPr>
          <w:rFonts w:asciiTheme="majorHAnsi" w:hAnsiTheme="majorHAnsi" w:cstheme="majorHAnsi"/>
        </w:rPr>
        <w:tab/>
      </w:r>
      <w:r w:rsidRPr="001344D4">
        <w:rPr>
          <w:rFonts w:asciiTheme="majorHAnsi" w:hAnsiTheme="majorHAnsi" w:cstheme="majorHAnsi"/>
        </w:rPr>
        <w:tab/>
      </w:r>
      <w:r w:rsidRPr="001344D4">
        <w:rPr>
          <w:rFonts w:asciiTheme="majorHAnsi" w:hAnsiTheme="majorHAnsi" w:cstheme="majorHAnsi"/>
        </w:rPr>
        <w:tab/>
      </w:r>
      <w:r w:rsidRPr="001344D4">
        <w:rPr>
          <w:rFonts w:asciiTheme="majorHAnsi" w:hAnsiTheme="majorHAnsi" w:cstheme="majorHAnsi"/>
        </w:rPr>
        <w:tab/>
      </w:r>
      <w:r w:rsidRPr="001344D4">
        <w:rPr>
          <w:rFonts w:asciiTheme="majorHAnsi" w:eastAsiaTheme="minorEastAsia" w:hAnsiTheme="majorHAnsi" w:cstheme="majorHAnsi"/>
        </w:rPr>
        <w:t xml:space="preserve"> </w:t>
      </w:r>
      <w:r w:rsidRPr="001344D4">
        <w:rPr>
          <w:rFonts w:asciiTheme="majorHAnsi" w:hAnsiTheme="majorHAnsi" w:cstheme="majorHAnsi"/>
        </w:rPr>
        <w:tab/>
      </w:r>
    </w:p>
    <w:p w14:paraId="55CCAD80" w14:textId="214FEF9D" w:rsidR="2DCAA8B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The purpose of this assignment is to facilitate the students’ conceptualization </w:t>
      </w:r>
      <w:r w:rsidR="00F25444">
        <w:rPr>
          <w:rFonts w:asciiTheme="majorHAnsi" w:eastAsiaTheme="minorEastAsia" w:hAnsiTheme="majorHAnsi" w:cstheme="majorHAnsi"/>
        </w:rPr>
        <w:t>of</w:t>
      </w:r>
      <w:r w:rsidRPr="001344D4">
        <w:rPr>
          <w:rFonts w:asciiTheme="majorHAnsi" w:eastAsiaTheme="minorEastAsia" w:hAnsiTheme="majorHAnsi" w:cstheme="majorHAnsi"/>
        </w:rPr>
        <w:t xml:space="preserve"> </w:t>
      </w:r>
      <w:r w:rsidR="6ED277A5" w:rsidRPr="001344D4">
        <w:rPr>
          <w:rFonts w:asciiTheme="majorHAnsi" w:eastAsiaTheme="minorEastAsia" w:hAnsiTheme="majorHAnsi" w:cstheme="majorHAnsi"/>
        </w:rPr>
        <w:t xml:space="preserve">their role in an </w:t>
      </w:r>
      <w:r w:rsidRPr="001344D4">
        <w:rPr>
          <w:rFonts w:asciiTheme="majorHAnsi" w:eastAsiaTheme="minorEastAsia" w:hAnsiTheme="majorHAnsi" w:cstheme="majorHAnsi"/>
        </w:rPr>
        <w:t>assessment</w:t>
      </w:r>
      <w:r w:rsidR="7FB46C87" w:rsidRPr="001344D4">
        <w:rPr>
          <w:rFonts w:asciiTheme="majorHAnsi" w:eastAsiaTheme="minorEastAsia" w:hAnsiTheme="majorHAnsi" w:cstheme="majorHAnsi"/>
        </w:rPr>
        <w:t xml:space="preserve"> process</w:t>
      </w:r>
      <w:r w:rsidRPr="001344D4">
        <w:rPr>
          <w:rFonts w:asciiTheme="majorHAnsi" w:eastAsiaTheme="minorEastAsia" w:hAnsiTheme="majorHAnsi" w:cstheme="majorHAnsi"/>
        </w:rPr>
        <w:t>.</w:t>
      </w:r>
      <w:r w:rsidR="13E4414B" w:rsidRPr="001344D4">
        <w:rPr>
          <w:rFonts w:asciiTheme="majorHAnsi" w:eastAsiaTheme="minorEastAsia" w:hAnsiTheme="majorHAnsi" w:cstheme="majorHAnsi"/>
        </w:rPr>
        <w:t xml:space="preserve"> </w:t>
      </w:r>
      <w:r w:rsidRPr="001344D4">
        <w:rPr>
          <w:rFonts w:asciiTheme="majorHAnsi" w:eastAsiaTheme="minorEastAsia" w:hAnsiTheme="majorHAnsi" w:cstheme="majorHAnsi"/>
        </w:rPr>
        <w:t>Following and integrated with the engagement process, students are to address the following questions:</w:t>
      </w:r>
    </w:p>
    <w:p w14:paraId="53C8DA02" w14:textId="2F60B2A8"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What is the purpose of the assessment? </w:t>
      </w:r>
      <w:r w:rsidRPr="001344D4">
        <w:rPr>
          <w:rFonts w:asciiTheme="majorHAnsi" w:hAnsiTheme="majorHAnsi" w:cstheme="majorHAnsi"/>
        </w:rPr>
        <w:tab/>
      </w:r>
    </w:p>
    <w:p w14:paraId="30325F52" w14:textId="475A08F2"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What is the role of the social worker</w:t>
      </w:r>
      <w:r w:rsidR="48AA5390" w:rsidRPr="001344D4">
        <w:rPr>
          <w:rFonts w:asciiTheme="majorHAnsi" w:eastAsiaTheme="minorEastAsia" w:hAnsiTheme="majorHAnsi" w:cstheme="majorHAnsi"/>
        </w:rPr>
        <w:t xml:space="preserve"> during the assessment</w:t>
      </w:r>
      <w:r w:rsidRPr="001344D4">
        <w:rPr>
          <w:rFonts w:asciiTheme="majorHAnsi" w:eastAsiaTheme="minorEastAsia" w:hAnsiTheme="majorHAnsi" w:cstheme="majorHAnsi"/>
        </w:rPr>
        <w:t xml:space="preserve">? </w:t>
      </w:r>
    </w:p>
    <w:p w14:paraId="262B0B13" w14:textId="455AFDAC"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How do the following factors impact the </w:t>
      </w:r>
      <w:r w:rsidR="706D18F4" w:rsidRPr="001344D4">
        <w:rPr>
          <w:rFonts w:asciiTheme="majorHAnsi" w:eastAsiaTheme="minorEastAsia" w:hAnsiTheme="majorHAnsi" w:cstheme="majorHAnsi"/>
        </w:rPr>
        <w:t>assessment?</w:t>
      </w:r>
      <w:r w:rsidRPr="001344D4">
        <w:rPr>
          <w:rFonts w:asciiTheme="majorHAnsi" w:eastAsiaTheme="minorEastAsia" w:hAnsiTheme="majorHAnsi" w:cstheme="majorHAnsi"/>
        </w:rPr>
        <w:t xml:space="preserve"> </w:t>
      </w:r>
      <w:r w:rsidRPr="001344D4">
        <w:rPr>
          <w:rFonts w:asciiTheme="majorHAnsi" w:hAnsiTheme="majorHAnsi" w:cstheme="majorHAnsi"/>
        </w:rPr>
        <w:tab/>
      </w:r>
    </w:p>
    <w:p w14:paraId="77894B0B" w14:textId="5E1214B3" w:rsidR="2DCAA8BE" w:rsidRPr="001344D4" w:rsidRDefault="2DCAA8BE" w:rsidP="001344D4">
      <w:pPr>
        <w:pStyle w:val="ListParagraph"/>
        <w:numPr>
          <w:ilvl w:val="1"/>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Practice setting in which the assessment is conducted?</w:t>
      </w:r>
    </w:p>
    <w:p w14:paraId="3913EE07" w14:textId="611C2FE2" w:rsidR="2DCAA8BE" w:rsidRPr="001344D4" w:rsidRDefault="2DCAA8BE" w:rsidP="001344D4">
      <w:pPr>
        <w:pStyle w:val="ListParagraph"/>
        <w:numPr>
          <w:ilvl w:val="1"/>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Who the client</w:t>
      </w:r>
      <w:r w:rsidR="09E2B398" w:rsidRPr="001344D4">
        <w:rPr>
          <w:rFonts w:asciiTheme="majorHAnsi" w:eastAsiaTheme="minorEastAsia" w:hAnsiTheme="majorHAnsi" w:cstheme="majorHAnsi"/>
        </w:rPr>
        <w:t xml:space="preserve"> </w:t>
      </w:r>
      <w:r w:rsidR="406C00AE" w:rsidRPr="001344D4">
        <w:rPr>
          <w:rFonts w:asciiTheme="majorHAnsi" w:eastAsiaTheme="minorEastAsia" w:hAnsiTheme="majorHAnsi" w:cstheme="majorHAnsi"/>
        </w:rPr>
        <w:t xml:space="preserve">is </w:t>
      </w:r>
      <w:r w:rsidR="09E2B398" w:rsidRPr="001344D4">
        <w:rPr>
          <w:rFonts w:asciiTheme="majorHAnsi" w:eastAsiaTheme="minorEastAsia" w:hAnsiTheme="majorHAnsi" w:cstheme="majorHAnsi"/>
        </w:rPr>
        <w:t xml:space="preserve">(e.g., </w:t>
      </w:r>
      <w:r w:rsidR="01C71B7D" w:rsidRPr="001344D4">
        <w:rPr>
          <w:rFonts w:asciiTheme="majorHAnsi" w:eastAsiaTheme="minorEastAsia" w:hAnsiTheme="majorHAnsi" w:cstheme="majorHAnsi"/>
        </w:rPr>
        <w:t>I</w:t>
      </w:r>
      <w:r w:rsidR="09E2B398" w:rsidRPr="001344D4">
        <w:rPr>
          <w:rFonts w:asciiTheme="majorHAnsi" w:eastAsiaTheme="minorEastAsia" w:hAnsiTheme="majorHAnsi" w:cstheme="majorHAnsi"/>
        </w:rPr>
        <w:t>ndividual or family?</w:t>
      </w:r>
      <w:r w:rsidR="7804DFBB" w:rsidRPr="001344D4">
        <w:rPr>
          <w:rFonts w:asciiTheme="majorHAnsi" w:eastAsiaTheme="minorEastAsia" w:hAnsiTheme="majorHAnsi" w:cstheme="majorHAnsi"/>
        </w:rPr>
        <w:t xml:space="preserve"> </w:t>
      </w:r>
      <w:r w:rsidR="65B2F01A" w:rsidRPr="001344D4">
        <w:rPr>
          <w:rFonts w:asciiTheme="majorHAnsi" w:eastAsiaTheme="minorEastAsia" w:hAnsiTheme="majorHAnsi" w:cstheme="majorHAnsi"/>
        </w:rPr>
        <w:t xml:space="preserve">Child, adolescent, adult, older adult? </w:t>
      </w:r>
      <w:r w:rsidR="7804DFBB" w:rsidRPr="001344D4">
        <w:rPr>
          <w:rFonts w:asciiTheme="majorHAnsi" w:eastAsiaTheme="minorEastAsia" w:hAnsiTheme="majorHAnsi" w:cstheme="majorHAnsi"/>
        </w:rPr>
        <w:t>Mandated or voluntary?</w:t>
      </w:r>
      <w:r w:rsidR="5A566E4B" w:rsidRPr="001344D4">
        <w:rPr>
          <w:rFonts w:asciiTheme="majorHAnsi" w:eastAsiaTheme="minorEastAsia" w:hAnsiTheme="majorHAnsi" w:cstheme="majorHAnsi"/>
        </w:rPr>
        <w:t xml:space="preserve"> Aspects of identity – race, culture, gender, sexuality, religion, ability?) </w:t>
      </w:r>
    </w:p>
    <w:p w14:paraId="3F78FFC3" w14:textId="27565E0A" w:rsidR="5A566E4B" w:rsidRPr="001344D4" w:rsidRDefault="5A566E4B" w:rsidP="001344D4">
      <w:pPr>
        <w:pStyle w:val="ListParagraph"/>
        <w:numPr>
          <w:ilvl w:val="1"/>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T</w:t>
      </w:r>
      <w:r w:rsidR="2DCAA8BE" w:rsidRPr="001344D4">
        <w:rPr>
          <w:rFonts w:asciiTheme="majorHAnsi" w:eastAsiaTheme="minorEastAsia" w:hAnsiTheme="majorHAnsi" w:cstheme="majorHAnsi"/>
        </w:rPr>
        <w:t>he goal of the social work interaction?</w:t>
      </w:r>
    </w:p>
    <w:p w14:paraId="6C39798E" w14:textId="0EE0053D"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What methods </w:t>
      </w:r>
      <w:r w:rsidR="44C296FC" w:rsidRPr="001344D4">
        <w:rPr>
          <w:rFonts w:asciiTheme="majorHAnsi" w:eastAsiaTheme="minorEastAsia" w:hAnsiTheme="majorHAnsi" w:cstheme="majorHAnsi"/>
        </w:rPr>
        <w:t xml:space="preserve">and skills </w:t>
      </w:r>
      <w:r w:rsidRPr="001344D4">
        <w:rPr>
          <w:rFonts w:asciiTheme="majorHAnsi" w:eastAsiaTheme="minorEastAsia" w:hAnsiTheme="majorHAnsi" w:cstheme="majorHAnsi"/>
        </w:rPr>
        <w:t xml:space="preserve">will the student use for assessment?  </w:t>
      </w:r>
      <w:r w:rsidR="62F845A9" w:rsidRPr="001344D4">
        <w:rPr>
          <w:rFonts w:asciiTheme="majorHAnsi" w:eastAsiaTheme="minorEastAsia" w:hAnsiTheme="majorHAnsi" w:cstheme="majorHAnsi"/>
        </w:rPr>
        <w:t>Please speak to the role of the biological, psychological, social and spiritual domains of assessment.</w:t>
      </w:r>
    </w:p>
    <w:p w14:paraId="38A97F30" w14:textId="2EF671BA" w:rsidR="2DCAA8BE" w:rsidRPr="001344D4" w:rsidRDefault="2DCAA8BE" w:rsidP="001344D4">
      <w:pPr>
        <w:pStyle w:val="ListParagraph"/>
        <w:numPr>
          <w:ilvl w:val="0"/>
          <w:numId w:val="1"/>
        </w:num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How will the assessment affect the next steps in the helping process?</w:t>
      </w:r>
    </w:p>
    <w:p w14:paraId="29B16A7D" w14:textId="587A066C" w:rsidR="00934AE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For this portion of the assignment, materials, notes, texts and other books may be used for reference.  All quotations and paraphrases must be </w:t>
      </w:r>
      <w:r w:rsidR="00247C5B" w:rsidRPr="001344D4">
        <w:rPr>
          <w:rFonts w:asciiTheme="majorHAnsi" w:eastAsiaTheme="minorEastAsia" w:hAnsiTheme="majorHAnsi" w:cstheme="majorHAnsi"/>
        </w:rPr>
        <w:t>cited,</w:t>
      </w:r>
      <w:r w:rsidRPr="001344D4">
        <w:rPr>
          <w:rFonts w:asciiTheme="majorHAnsi" w:eastAsiaTheme="minorEastAsia" w:hAnsiTheme="majorHAnsi" w:cstheme="majorHAnsi"/>
        </w:rPr>
        <w:t xml:space="preserve"> and the citation must be appropriately referenced and documented using </w:t>
      </w:r>
      <w:r w:rsidRPr="001344D4">
        <w:rPr>
          <w:rFonts w:asciiTheme="majorHAnsi" w:eastAsiaTheme="minorEastAsia" w:hAnsiTheme="majorHAnsi" w:cstheme="majorHAnsi"/>
          <w:i/>
          <w:iCs/>
        </w:rPr>
        <w:t>APA Writing Style Manual</w:t>
      </w:r>
      <w:r w:rsidRPr="001344D4">
        <w:rPr>
          <w:rFonts w:asciiTheme="majorHAnsi" w:eastAsiaTheme="minorEastAsia" w:hAnsiTheme="majorHAnsi" w:cstheme="majorHAnsi"/>
        </w:rPr>
        <w:t xml:space="preserve">. </w:t>
      </w:r>
    </w:p>
    <w:p w14:paraId="13836945" w14:textId="07A8F0E7" w:rsidR="2430E2C0" w:rsidRPr="001344D4" w:rsidRDefault="2430E2C0" w:rsidP="001344D4">
      <w:pPr>
        <w:spacing w:before="120" w:after="120" w:line="240" w:lineRule="auto"/>
        <w:rPr>
          <w:rFonts w:asciiTheme="majorHAnsi" w:hAnsiTheme="majorHAnsi" w:cstheme="majorHAnsi"/>
        </w:rPr>
      </w:pPr>
      <w:r w:rsidRPr="001344D4">
        <w:rPr>
          <w:rFonts w:asciiTheme="majorHAnsi" w:eastAsiaTheme="minorEastAsia" w:hAnsiTheme="majorHAnsi" w:cstheme="majorHAnsi"/>
          <w:b/>
          <w:bCs/>
        </w:rPr>
        <w:t>Biopsychosocial</w:t>
      </w:r>
      <w:r w:rsidR="43933E9E" w:rsidRPr="001344D4">
        <w:rPr>
          <w:rFonts w:asciiTheme="majorHAnsi" w:eastAsiaTheme="minorEastAsia" w:hAnsiTheme="majorHAnsi" w:cstheme="majorHAnsi"/>
          <w:b/>
          <w:bCs/>
        </w:rPr>
        <w:t>-spiritual</w:t>
      </w:r>
      <w:r w:rsidRPr="001344D4">
        <w:rPr>
          <w:rFonts w:asciiTheme="majorHAnsi" w:eastAsiaTheme="minorEastAsia" w:hAnsiTheme="majorHAnsi" w:cstheme="majorHAnsi"/>
          <w:b/>
          <w:bCs/>
        </w:rPr>
        <w:t xml:space="preserve"> assessment</w:t>
      </w:r>
      <w:r w:rsidR="6DD881C3" w:rsidRPr="001344D4">
        <w:rPr>
          <w:rFonts w:asciiTheme="majorHAnsi" w:eastAsiaTheme="minorEastAsia" w:hAnsiTheme="majorHAnsi" w:cstheme="majorHAnsi"/>
          <w:b/>
          <w:bCs/>
        </w:rPr>
        <w:t xml:space="preserve"> (20%)</w:t>
      </w:r>
      <w:r w:rsidRPr="001344D4">
        <w:rPr>
          <w:rFonts w:asciiTheme="majorHAnsi" w:eastAsiaTheme="minorEastAsia" w:hAnsiTheme="majorHAnsi" w:cstheme="majorHAnsi"/>
          <w:b/>
          <w:bCs/>
        </w:rPr>
        <w:t xml:space="preserve"> </w:t>
      </w:r>
      <w:r w:rsidRPr="001344D4">
        <w:rPr>
          <w:rFonts w:asciiTheme="majorHAnsi" w:eastAsiaTheme="minorEastAsia" w:hAnsiTheme="majorHAnsi" w:cstheme="majorHAnsi"/>
        </w:rPr>
        <w:t>(3-4 pages)</w:t>
      </w:r>
    </w:p>
    <w:p w14:paraId="682761BE" w14:textId="690E9AA8" w:rsidR="6F384353" w:rsidRPr="001344D4" w:rsidRDefault="122F3F94" w:rsidP="00056477">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The purpose of this portion of the assignment is to provide you </w:t>
      </w:r>
      <w:r w:rsidR="00247C5B">
        <w:rPr>
          <w:rFonts w:asciiTheme="majorHAnsi" w:eastAsiaTheme="minorEastAsia" w:hAnsiTheme="majorHAnsi" w:cstheme="majorHAnsi"/>
        </w:rPr>
        <w:t xml:space="preserve">with </w:t>
      </w:r>
      <w:r w:rsidRPr="001344D4">
        <w:rPr>
          <w:rFonts w:asciiTheme="majorHAnsi" w:eastAsiaTheme="minorEastAsia" w:hAnsiTheme="majorHAnsi" w:cstheme="majorHAnsi"/>
        </w:rPr>
        <w:t xml:space="preserve">practice using emerging assessment skills and to demonstrate your ability to apply learning </w:t>
      </w:r>
      <w:r w:rsidR="00247C5B">
        <w:rPr>
          <w:rFonts w:asciiTheme="majorHAnsi" w:eastAsiaTheme="minorEastAsia" w:hAnsiTheme="majorHAnsi" w:cstheme="majorHAnsi"/>
        </w:rPr>
        <w:t>to</w:t>
      </w:r>
      <w:r w:rsidRPr="001344D4">
        <w:rPr>
          <w:rFonts w:asciiTheme="majorHAnsi" w:eastAsiaTheme="minorEastAsia" w:hAnsiTheme="majorHAnsi" w:cstheme="majorHAnsi"/>
        </w:rPr>
        <w:t xml:space="preserve"> clinical documentation. Using the sample assessment from the primary text as a guide, t</w:t>
      </w:r>
      <w:r w:rsidR="2DCAA8BE" w:rsidRPr="001344D4">
        <w:rPr>
          <w:rFonts w:asciiTheme="majorHAnsi" w:eastAsiaTheme="minorEastAsia" w:hAnsiTheme="majorHAnsi" w:cstheme="majorHAnsi"/>
        </w:rPr>
        <w:t xml:space="preserve">he student is to write a brief assessment of an initial “client” based on one of the following scenarios: </w:t>
      </w:r>
    </w:p>
    <w:p w14:paraId="44B9F9C0" w14:textId="11F664D4" w:rsidR="2DCAA8BE" w:rsidRPr="001344D4" w:rsidRDefault="2DCAA8BE" w:rsidP="00056477">
      <w:pPr>
        <w:spacing w:after="0" w:line="240" w:lineRule="auto"/>
        <w:ind w:firstLine="720"/>
        <w:rPr>
          <w:rFonts w:asciiTheme="majorHAnsi" w:eastAsiaTheme="minorEastAsia" w:hAnsiTheme="majorHAnsi" w:cstheme="majorHAnsi"/>
        </w:rPr>
      </w:pPr>
      <w:r w:rsidRPr="001344D4">
        <w:rPr>
          <w:rFonts w:asciiTheme="majorHAnsi" w:eastAsiaTheme="minorEastAsia" w:hAnsiTheme="majorHAnsi" w:cstheme="majorHAnsi"/>
        </w:rPr>
        <w:t>1) an encounter with a client in your internship</w:t>
      </w:r>
      <w:r w:rsidR="5C2A249F" w:rsidRPr="001344D4">
        <w:rPr>
          <w:rFonts w:asciiTheme="majorHAnsi" w:eastAsiaTheme="minorEastAsia" w:hAnsiTheme="majorHAnsi" w:cstheme="majorHAnsi"/>
        </w:rPr>
        <w:t xml:space="preserve"> (preferred)</w:t>
      </w:r>
    </w:p>
    <w:p w14:paraId="6EF48E86" w14:textId="75550CB0" w:rsidR="2DCAA8BE" w:rsidRPr="001344D4" w:rsidRDefault="2DCAA8BE" w:rsidP="00056477">
      <w:pPr>
        <w:spacing w:after="0" w:line="240" w:lineRule="auto"/>
        <w:ind w:firstLine="720"/>
        <w:rPr>
          <w:rFonts w:asciiTheme="majorHAnsi" w:eastAsiaTheme="minorEastAsia" w:hAnsiTheme="majorHAnsi" w:cstheme="majorHAnsi"/>
        </w:rPr>
      </w:pPr>
      <w:r w:rsidRPr="001344D4">
        <w:rPr>
          <w:rFonts w:asciiTheme="majorHAnsi" w:eastAsiaTheme="minorEastAsia" w:hAnsiTheme="majorHAnsi" w:cstheme="majorHAnsi"/>
        </w:rPr>
        <w:t xml:space="preserve">2) a fictional client encounter as portrayed in a movie, TV show or book or </w:t>
      </w:r>
    </w:p>
    <w:p w14:paraId="03C96F8A" w14:textId="2C6BBDB5" w:rsidR="6F384353" w:rsidRPr="001344D4" w:rsidRDefault="2DCAA8BE" w:rsidP="00056477">
      <w:pPr>
        <w:spacing w:after="0" w:line="240" w:lineRule="auto"/>
        <w:ind w:firstLine="720"/>
        <w:rPr>
          <w:rFonts w:asciiTheme="majorHAnsi" w:eastAsiaTheme="minorEastAsia" w:hAnsiTheme="majorHAnsi" w:cstheme="majorHAnsi"/>
        </w:rPr>
      </w:pPr>
      <w:r w:rsidRPr="001344D4">
        <w:rPr>
          <w:rFonts w:asciiTheme="majorHAnsi" w:eastAsiaTheme="minorEastAsia" w:hAnsiTheme="majorHAnsi" w:cstheme="majorHAnsi"/>
        </w:rPr>
        <w:t xml:space="preserve">3) a role play with a classmate as a client. </w:t>
      </w:r>
    </w:p>
    <w:p w14:paraId="44F06919" w14:textId="5BB60AA3" w:rsidR="6F384353"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For option 2, please obtain approval from the instructor for the movie, TV show</w:t>
      </w:r>
      <w:r w:rsidR="00247C5B">
        <w:rPr>
          <w:rFonts w:asciiTheme="majorHAnsi" w:eastAsiaTheme="minorEastAsia" w:hAnsiTheme="majorHAnsi" w:cstheme="majorHAnsi"/>
        </w:rPr>
        <w:t>,</w:t>
      </w:r>
      <w:r w:rsidRPr="001344D4">
        <w:rPr>
          <w:rFonts w:asciiTheme="majorHAnsi" w:eastAsiaTheme="minorEastAsia" w:hAnsiTheme="majorHAnsi" w:cstheme="majorHAnsi"/>
        </w:rPr>
        <w:t xml:space="preserve"> or book you wish to use. For 3, if you are the “client,” please DO NOT </w:t>
      </w:r>
      <w:r w:rsidR="00247C5B">
        <w:rPr>
          <w:rFonts w:asciiTheme="majorHAnsi" w:eastAsiaTheme="minorEastAsia" w:hAnsiTheme="majorHAnsi" w:cstheme="majorHAnsi"/>
        </w:rPr>
        <w:t>role-play</w:t>
      </w:r>
      <w:r w:rsidRPr="001344D4">
        <w:rPr>
          <w:rFonts w:asciiTheme="majorHAnsi" w:eastAsiaTheme="minorEastAsia" w:hAnsiTheme="majorHAnsi" w:cstheme="majorHAnsi"/>
        </w:rPr>
        <w:t xml:space="preserve"> being yourself; it works best if </w:t>
      </w:r>
      <w:r w:rsidR="00110EC6" w:rsidRPr="001344D4">
        <w:rPr>
          <w:rFonts w:asciiTheme="majorHAnsi" w:eastAsiaTheme="minorEastAsia" w:hAnsiTheme="majorHAnsi" w:cstheme="majorHAnsi"/>
        </w:rPr>
        <w:t>your</w:t>
      </w:r>
      <w:r w:rsidRPr="001344D4">
        <w:rPr>
          <w:rFonts w:asciiTheme="majorHAnsi" w:eastAsiaTheme="minorEastAsia" w:hAnsiTheme="majorHAnsi" w:cstheme="majorHAnsi"/>
        </w:rPr>
        <w:t xml:space="preserve"> role</w:t>
      </w:r>
      <w:r w:rsidR="00247C5B">
        <w:rPr>
          <w:rFonts w:asciiTheme="majorHAnsi" w:eastAsiaTheme="minorEastAsia" w:hAnsiTheme="majorHAnsi" w:cstheme="majorHAnsi"/>
        </w:rPr>
        <w:t>-</w:t>
      </w:r>
      <w:r w:rsidRPr="001344D4">
        <w:rPr>
          <w:rFonts w:asciiTheme="majorHAnsi" w:eastAsiaTheme="minorEastAsia" w:hAnsiTheme="majorHAnsi" w:cstheme="majorHAnsi"/>
        </w:rPr>
        <w:t xml:space="preserve">play an actual client or someone you’ve known in the past who is </w:t>
      </w:r>
      <w:r w:rsidRPr="001344D4">
        <w:rPr>
          <w:rFonts w:asciiTheme="majorHAnsi" w:eastAsiaTheme="minorEastAsia" w:hAnsiTheme="majorHAnsi" w:cstheme="majorHAnsi"/>
          <w:i/>
          <w:iCs/>
        </w:rPr>
        <w:t>not in your inner circle of family and friends, and not someone who is suicidal or wishing to harm others</w:t>
      </w:r>
      <w:r w:rsidRPr="001344D4">
        <w:rPr>
          <w:rFonts w:asciiTheme="majorHAnsi" w:eastAsiaTheme="minorEastAsia" w:hAnsiTheme="majorHAnsi" w:cstheme="majorHAnsi"/>
        </w:rPr>
        <w:t xml:space="preserve">. </w:t>
      </w:r>
    </w:p>
    <w:p w14:paraId="71BA9540" w14:textId="4F0B968D" w:rsidR="00934AEE" w:rsidRPr="001344D4" w:rsidRDefault="2DCAA8BE" w:rsidP="001344D4">
      <w:pPr>
        <w:spacing w:before="120" w:after="120" w:line="240" w:lineRule="auto"/>
        <w:rPr>
          <w:rFonts w:asciiTheme="majorHAnsi" w:eastAsiaTheme="minorEastAsia" w:hAnsiTheme="majorHAnsi" w:cstheme="majorHAnsi"/>
        </w:rPr>
      </w:pPr>
      <w:r w:rsidRPr="001344D4">
        <w:rPr>
          <w:rFonts w:asciiTheme="majorHAnsi" w:eastAsiaTheme="minorEastAsia" w:hAnsiTheme="majorHAnsi" w:cstheme="majorHAnsi"/>
        </w:rPr>
        <w:t xml:space="preserve">This assignment should be written in </w:t>
      </w:r>
      <w:r w:rsidR="514B874D" w:rsidRPr="001344D4">
        <w:rPr>
          <w:rFonts w:asciiTheme="majorHAnsi" w:eastAsiaTheme="minorEastAsia" w:hAnsiTheme="majorHAnsi" w:cstheme="majorHAnsi"/>
        </w:rPr>
        <w:t>12-point</w:t>
      </w:r>
      <w:r w:rsidRPr="001344D4">
        <w:rPr>
          <w:rFonts w:asciiTheme="majorHAnsi" w:eastAsiaTheme="minorEastAsia" w:hAnsiTheme="majorHAnsi" w:cstheme="majorHAnsi"/>
        </w:rPr>
        <w:t xml:space="preserve"> Times New Roman font, double-spaced, and proofread for errors in grammar, spelling</w:t>
      </w:r>
      <w:r w:rsidR="00247C5B">
        <w:rPr>
          <w:rFonts w:asciiTheme="majorHAnsi" w:eastAsiaTheme="minorEastAsia" w:hAnsiTheme="majorHAnsi" w:cstheme="majorHAnsi"/>
        </w:rPr>
        <w:t>,</w:t>
      </w:r>
      <w:r w:rsidRPr="001344D4">
        <w:rPr>
          <w:rFonts w:asciiTheme="majorHAnsi" w:eastAsiaTheme="minorEastAsia" w:hAnsiTheme="majorHAnsi" w:cstheme="majorHAnsi"/>
        </w:rPr>
        <w:t xml:space="preserve"> and APA style.</w:t>
      </w:r>
    </w:p>
    <w:p w14:paraId="49DEDF46" w14:textId="22449D47" w:rsidR="6F384353" w:rsidRPr="001344D4" w:rsidRDefault="6F384353" w:rsidP="001344D4">
      <w:pPr>
        <w:spacing w:before="120" w:after="120" w:line="240" w:lineRule="auto"/>
        <w:rPr>
          <w:rFonts w:asciiTheme="majorHAnsi" w:eastAsiaTheme="minorEastAsia" w:hAnsiTheme="majorHAnsi" w:cstheme="majorHAnsi"/>
        </w:rPr>
      </w:pPr>
    </w:p>
    <w:p w14:paraId="339449A2" w14:textId="11FA6BF0" w:rsidR="00B547A7" w:rsidRPr="001344D4" w:rsidRDefault="4D853B59" w:rsidP="001344D4">
      <w:pPr>
        <w:spacing w:before="120" w:after="120" w:line="240" w:lineRule="auto"/>
        <w:rPr>
          <w:rFonts w:asciiTheme="majorHAnsi" w:eastAsia="Calibri" w:hAnsiTheme="majorHAnsi" w:cstheme="majorHAnsi"/>
        </w:rPr>
      </w:pPr>
      <w:r w:rsidRPr="001344D4">
        <w:rPr>
          <w:rFonts w:asciiTheme="majorHAnsi" w:eastAsia="Calibri" w:hAnsiTheme="majorHAnsi" w:cstheme="majorHAnsi"/>
          <w:b/>
          <w:bCs/>
        </w:rPr>
        <w:t>Quizzes (1</w:t>
      </w:r>
      <w:r w:rsidR="20A334F9" w:rsidRPr="001344D4">
        <w:rPr>
          <w:rFonts w:asciiTheme="majorHAnsi" w:eastAsia="Calibri" w:hAnsiTheme="majorHAnsi" w:cstheme="majorHAnsi"/>
          <w:b/>
          <w:bCs/>
        </w:rPr>
        <w:t>0</w:t>
      </w:r>
      <w:r w:rsidRPr="001344D4">
        <w:rPr>
          <w:rFonts w:asciiTheme="majorHAnsi" w:eastAsia="Calibri" w:hAnsiTheme="majorHAnsi" w:cstheme="majorHAnsi"/>
          <w:b/>
          <w:bCs/>
        </w:rPr>
        <w:t xml:space="preserve">%): </w:t>
      </w:r>
      <w:r w:rsidRPr="001344D4">
        <w:rPr>
          <w:rFonts w:asciiTheme="majorHAnsi" w:eastAsia="Calibri" w:hAnsiTheme="majorHAnsi" w:cstheme="majorHAnsi"/>
        </w:rPr>
        <w:t>There will be t</w:t>
      </w:r>
      <w:r w:rsidR="3F178E87" w:rsidRPr="001344D4">
        <w:rPr>
          <w:rFonts w:asciiTheme="majorHAnsi" w:eastAsia="Calibri" w:hAnsiTheme="majorHAnsi" w:cstheme="majorHAnsi"/>
        </w:rPr>
        <w:t>wo</w:t>
      </w:r>
      <w:r w:rsidRPr="001344D4">
        <w:rPr>
          <w:rFonts w:asciiTheme="majorHAnsi" w:eastAsia="Calibri" w:hAnsiTheme="majorHAnsi" w:cstheme="majorHAnsi"/>
        </w:rPr>
        <w:t xml:space="preserve"> quizzes during the semester</w:t>
      </w:r>
      <w:r w:rsidR="38773CED" w:rsidRPr="001344D4">
        <w:rPr>
          <w:rFonts w:asciiTheme="majorHAnsi" w:eastAsia="Calibri" w:hAnsiTheme="majorHAnsi" w:cstheme="majorHAnsi"/>
        </w:rPr>
        <w:t>, following modules 10 and 13</w:t>
      </w:r>
      <w:r w:rsidRPr="001344D4">
        <w:rPr>
          <w:rFonts w:asciiTheme="majorHAnsi" w:eastAsia="Calibri" w:hAnsiTheme="majorHAnsi" w:cstheme="majorHAnsi"/>
        </w:rPr>
        <w:t>. The purpose of the quizzes is to prepare you for future licensure exams and serve as one form of evaluating your understanding of the course material. The quizzes will be untimed, open-book</w:t>
      </w:r>
      <w:r w:rsidR="00247C5B">
        <w:rPr>
          <w:rFonts w:asciiTheme="majorHAnsi" w:eastAsia="Calibri" w:hAnsiTheme="majorHAnsi" w:cstheme="majorHAnsi"/>
        </w:rPr>
        <w:t>,</w:t>
      </w:r>
      <w:r w:rsidRPr="001344D4">
        <w:rPr>
          <w:rFonts w:asciiTheme="majorHAnsi" w:eastAsia="Calibri" w:hAnsiTheme="majorHAnsi" w:cstheme="majorHAnsi"/>
        </w:rPr>
        <w:t xml:space="preserve"> and available online. </w:t>
      </w:r>
    </w:p>
    <w:p w14:paraId="298A436A" w14:textId="36A358D9" w:rsidR="0E3C2715" w:rsidRPr="001344D4" w:rsidRDefault="0E3C2715" w:rsidP="001344D4">
      <w:pPr>
        <w:spacing w:before="120" w:after="120" w:line="240" w:lineRule="auto"/>
        <w:rPr>
          <w:rFonts w:asciiTheme="majorHAnsi" w:hAnsiTheme="majorHAnsi" w:cstheme="majorHAnsi"/>
        </w:rPr>
      </w:pPr>
      <w:r w:rsidRPr="001344D4">
        <w:rPr>
          <w:rFonts w:asciiTheme="majorHAnsi" w:eastAsia="Calibri" w:hAnsiTheme="majorHAnsi" w:cstheme="majorHAnsi"/>
          <w:b/>
          <w:bCs/>
        </w:rPr>
        <w:t>Final</w:t>
      </w:r>
      <w:r w:rsidR="4D853B59" w:rsidRPr="001344D4">
        <w:rPr>
          <w:rFonts w:asciiTheme="majorHAnsi" w:eastAsia="Calibri" w:hAnsiTheme="majorHAnsi" w:cstheme="majorHAnsi"/>
          <w:b/>
          <w:bCs/>
        </w:rPr>
        <w:t xml:space="preserve"> (</w:t>
      </w:r>
      <w:r w:rsidR="6DDD42A9" w:rsidRPr="001344D4">
        <w:rPr>
          <w:rFonts w:asciiTheme="majorHAnsi" w:eastAsia="Calibri" w:hAnsiTheme="majorHAnsi" w:cstheme="majorHAnsi"/>
          <w:b/>
          <w:bCs/>
        </w:rPr>
        <w:t>4</w:t>
      </w:r>
      <w:r w:rsidR="22E1EDCC" w:rsidRPr="001344D4">
        <w:rPr>
          <w:rFonts w:asciiTheme="majorHAnsi" w:eastAsia="Calibri" w:hAnsiTheme="majorHAnsi" w:cstheme="majorHAnsi"/>
          <w:b/>
          <w:bCs/>
        </w:rPr>
        <w:t>0</w:t>
      </w:r>
      <w:r w:rsidR="4D853B59" w:rsidRPr="001344D4">
        <w:rPr>
          <w:rFonts w:asciiTheme="majorHAnsi" w:eastAsia="Calibri" w:hAnsiTheme="majorHAnsi" w:cstheme="majorHAnsi"/>
          <w:b/>
          <w:bCs/>
        </w:rPr>
        <w:t>%):</w:t>
      </w:r>
      <w:r w:rsidR="4D853B59" w:rsidRPr="001344D4">
        <w:rPr>
          <w:rFonts w:asciiTheme="majorHAnsi" w:eastAsia="Calibri" w:hAnsiTheme="majorHAnsi" w:cstheme="majorHAnsi"/>
        </w:rPr>
        <w:t xml:space="preserve"> Consistent with the learning objectives and EPAS competencies outlined at the beginning of the syllabus, the midterm assignment is intended to improve students’ capacity to apply a strengths-based bio-psycho-socio-spiritual assessment of client concerns in the context of the DSM-5 diagnostic model. The </w:t>
      </w:r>
      <w:r w:rsidR="4D853B59" w:rsidRPr="001344D4">
        <w:rPr>
          <w:rFonts w:asciiTheme="majorHAnsi" w:eastAsia="Calibri" w:hAnsiTheme="majorHAnsi" w:cstheme="majorHAnsi"/>
        </w:rPr>
        <w:lastRenderedPageBreak/>
        <w:t>instructor will present students with two case studies, for which students will provide a diagnostic assessment, including:</w:t>
      </w:r>
    </w:p>
    <w:p w14:paraId="790AE0A1" w14:textId="0A9B7A30"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The resources, strengths</w:t>
      </w:r>
      <w:r w:rsidR="00247C5B">
        <w:rPr>
          <w:rFonts w:asciiTheme="majorHAnsi" w:eastAsia="Calibri" w:hAnsiTheme="majorHAnsi" w:cstheme="majorHAnsi"/>
        </w:rPr>
        <w:t>,</w:t>
      </w:r>
      <w:r w:rsidRPr="001344D4">
        <w:rPr>
          <w:rFonts w:asciiTheme="majorHAnsi" w:eastAsia="Calibri" w:hAnsiTheme="majorHAnsi" w:cstheme="majorHAnsi"/>
        </w:rPr>
        <w:t xml:space="preserve"> and or competencies that are evident in the client situation. </w:t>
      </w:r>
    </w:p>
    <w:p w14:paraId="0029E584" w14:textId="6DF381B6"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Other sociological or biological variables such as class, culture, socioeconomic status, and/or physical limitations that play an important role in contributing to or shaping the focal problems.</w:t>
      </w:r>
    </w:p>
    <w:p w14:paraId="60D7EBC1" w14:textId="3BF8DE74"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 xml:space="preserve">A DSM-5 diagnostic assessment, with a listing of the diagnostic criteria for the diagnosis selected and </w:t>
      </w:r>
      <w:r w:rsidR="00247C5B">
        <w:rPr>
          <w:rFonts w:asciiTheme="majorHAnsi" w:eastAsia="Calibri" w:hAnsiTheme="majorHAnsi" w:cstheme="majorHAnsi"/>
        </w:rPr>
        <w:t xml:space="preserve">an </w:t>
      </w:r>
      <w:r w:rsidRPr="001344D4">
        <w:rPr>
          <w:rFonts w:asciiTheme="majorHAnsi" w:eastAsia="Calibri" w:hAnsiTheme="majorHAnsi" w:cstheme="majorHAnsi"/>
        </w:rPr>
        <w:t>explanation for how the client meets each criterion.</w:t>
      </w:r>
    </w:p>
    <w:p w14:paraId="52DE412E" w14:textId="7310B469"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 xml:space="preserve">A description of which other disorders </w:t>
      </w:r>
      <w:r w:rsidR="00247C5B">
        <w:rPr>
          <w:rFonts w:asciiTheme="majorHAnsi" w:eastAsia="Calibri" w:hAnsiTheme="majorHAnsi" w:cstheme="majorHAnsi"/>
        </w:rPr>
        <w:t xml:space="preserve">were </w:t>
      </w:r>
      <w:r w:rsidRPr="001344D4">
        <w:rPr>
          <w:rFonts w:asciiTheme="majorHAnsi" w:eastAsia="Calibri" w:hAnsiTheme="majorHAnsi" w:cstheme="majorHAnsi"/>
        </w:rPr>
        <w:t>considered in the differential diagnosis, and why those ultimately were not selected.</w:t>
      </w:r>
    </w:p>
    <w:p w14:paraId="1E1D277B" w14:textId="0D991C57"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A list of additional questions the assessor would like to ask the client to develop a more comprehensive understanding of the client’s diagnosis.</w:t>
      </w:r>
    </w:p>
    <w:p w14:paraId="305E9791" w14:textId="39644693" w:rsidR="4D853B59"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 xml:space="preserve">An annotated bibliography of </w:t>
      </w:r>
      <w:r w:rsidRPr="001344D4">
        <w:rPr>
          <w:rFonts w:asciiTheme="majorHAnsi" w:eastAsia="Calibri" w:hAnsiTheme="majorHAnsi" w:cstheme="majorHAnsi"/>
          <w:b/>
          <w:bCs/>
        </w:rPr>
        <w:t xml:space="preserve">two </w:t>
      </w:r>
      <w:r w:rsidRPr="001344D4">
        <w:rPr>
          <w:rFonts w:asciiTheme="majorHAnsi" w:eastAsia="Calibri" w:hAnsiTheme="majorHAnsi" w:cstheme="majorHAnsi"/>
        </w:rPr>
        <w:t>current (last 5 years) research-based articles or chapters that could be used to assess this case and to select possible treatment goals.</w:t>
      </w:r>
    </w:p>
    <w:p w14:paraId="08B61633" w14:textId="792C63F7" w:rsidR="38AAAF90" w:rsidRPr="001344D4" w:rsidRDefault="4D853B59" w:rsidP="001344D4">
      <w:pPr>
        <w:pStyle w:val="ListParagraph"/>
        <w:numPr>
          <w:ilvl w:val="0"/>
          <w:numId w:val="2"/>
        </w:numPr>
        <w:spacing w:before="120" w:after="120" w:line="240" w:lineRule="auto"/>
        <w:rPr>
          <w:rFonts w:asciiTheme="majorHAnsi" w:eastAsiaTheme="minorEastAsia" w:hAnsiTheme="majorHAnsi" w:cstheme="majorHAnsi"/>
        </w:rPr>
      </w:pPr>
      <w:r w:rsidRPr="001344D4">
        <w:rPr>
          <w:rFonts w:asciiTheme="majorHAnsi" w:eastAsia="Calibri" w:hAnsiTheme="majorHAnsi" w:cstheme="majorHAnsi"/>
        </w:rPr>
        <w:t>A list of treatment goals consistent with the client assessment.</w:t>
      </w:r>
    </w:p>
    <w:p w14:paraId="657CB65A" w14:textId="7FA4F244" w:rsidR="38AAAF90" w:rsidRPr="001344D4" w:rsidRDefault="38AAAF90" w:rsidP="001344D4">
      <w:pPr>
        <w:spacing w:before="120" w:after="120" w:line="240" w:lineRule="auto"/>
        <w:rPr>
          <w:rFonts w:asciiTheme="majorHAnsi" w:hAnsiTheme="majorHAnsi" w:cstheme="majorHAnsi"/>
        </w:rPr>
      </w:pPr>
      <w:r w:rsidRPr="001344D4">
        <w:rPr>
          <w:rFonts w:asciiTheme="majorHAnsi" w:eastAsia="Calibri" w:hAnsiTheme="majorHAnsi" w:cstheme="majorHAnsi"/>
          <w:b/>
          <w:bCs/>
          <w:color w:val="000000" w:themeColor="text1"/>
        </w:rPr>
        <w:t xml:space="preserve">Rubric for Grading Assignments </w:t>
      </w:r>
    </w:p>
    <w:p w14:paraId="5692303A" w14:textId="37FB20D0" w:rsidR="38AAAF90" w:rsidRPr="001344D4" w:rsidRDefault="38AAAF90" w:rsidP="001344D4">
      <w:pPr>
        <w:spacing w:before="120" w:after="120" w:line="240" w:lineRule="auto"/>
        <w:rPr>
          <w:rFonts w:asciiTheme="majorHAnsi" w:hAnsiTheme="majorHAnsi" w:cstheme="majorHAnsi"/>
        </w:rPr>
      </w:pPr>
      <w:r w:rsidRPr="001344D4">
        <w:rPr>
          <w:rFonts w:asciiTheme="majorHAnsi" w:eastAsia="Calibri" w:hAnsiTheme="majorHAnsi" w:cstheme="majorHAnsi"/>
          <w:color w:val="000000" w:themeColor="text1"/>
          <w:highlight w:val="yellow"/>
        </w:rPr>
        <w:t>[List rubric for graded assignments here]</w:t>
      </w:r>
    </w:p>
    <w:p w14:paraId="7ACB40F8" w14:textId="7A804633" w:rsidR="7B6EBE32" w:rsidRPr="00AA155A" w:rsidRDefault="7B6EBE32" w:rsidP="00247C5B">
      <w:pPr>
        <w:spacing w:before="120" w:after="120"/>
        <w:rPr>
          <w:rFonts w:asciiTheme="majorHAnsi" w:hAnsiTheme="majorHAnsi" w:cstheme="majorHAnsi"/>
          <w:color w:val="922247"/>
          <w:sz w:val="24"/>
        </w:rPr>
      </w:pPr>
      <w:r w:rsidRPr="00AA155A">
        <w:rPr>
          <w:rFonts w:asciiTheme="majorHAnsi" w:eastAsia="Calibri" w:hAnsiTheme="majorHAnsi" w:cstheme="majorHAnsi"/>
          <w:b/>
          <w:bCs/>
          <w:color w:val="922247"/>
          <w:sz w:val="24"/>
        </w:rPr>
        <w:t>REQUIRED TEXT(S)</w:t>
      </w:r>
    </w:p>
    <w:p w14:paraId="18057518" w14:textId="44F3ED90" w:rsidR="7B6EBE32" w:rsidRPr="00247C5B" w:rsidRDefault="7B6EBE32" w:rsidP="00247C5B">
      <w:pPr>
        <w:pStyle w:val="ListParagraph"/>
        <w:numPr>
          <w:ilvl w:val="0"/>
          <w:numId w:val="39"/>
        </w:numPr>
        <w:spacing w:after="0" w:line="240" w:lineRule="auto"/>
        <w:ind w:left="504"/>
        <w:rPr>
          <w:rFonts w:asciiTheme="majorHAnsi" w:hAnsiTheme="majorHAnsi" w:cstheme="majorHAnsi"/>
        </w:rPr>
      </w:pPr>
      <w:r w:rsidRPr="00247C5B">
        <w:rPr>
          <w:rFonts w:asciiTheme="majorHAnsi" w:eastAsia="Calibri" w:hAnsiTheme="majorHAnsi" w:cstheme="majorHAnsi"/>
        </w:rPr>
        <w:t xml:space="preserve">American Psychiatric Association. (2013). </w:t>
      </w:r>
      <w:r w:rsidRPr="00247C5B">
        <w:rPr>
          <w:rFonts w:asciiTheme="majorHAnsi" w:eastAsia="Calibri" w:hAnsiTheme="majorHAnsi" w:cstheme="majorHAnsi"/>
          <w:i/>
          <w:iCs/>
        </w:rPr>
        <w:t xml:space="preserve">Diagnostic and statistical manual of mental disorders </w:t>
      </w:r>
      <w:r w:rsidRPr="00247C5B">
        <w:rPr>
          <w:rFonts w:asciiTheme="majorHAnsi" w:eastAsia="Calibri" w:hAnsiTheme="majorHAnsi" w:cstheme="majorHAnsi"/>
        </w:rPr>
        <w:t>(5</w:t>
      </w:r>
      <w:r w:rsidRPr="00247C5B">
        <w:rPr>
          <w:rFonts w:asciiTheme="majorHAnsi" w:eastAsia="Calibri" w:hAnsiTheme="majorHAnsi" w:cstheme="majorHAnsi"/>
          <w:vertAlign w:val="superscript"/>
        </w:rPr>
        <w:t>th</w:t>
      </w:r>
      <w:r w:rsidRPr="00247C5B">
        <w:rPr>
          <w:rFonts w:asciiTheme="majorHAnsi" w:eastAsia="Calibri" w:hAnsiTheme="majorHAnsi" w:cstheme="majorHAnsi"/>
        </w:rPr>
        <w:t xml:space="preserve"> ed.). Washington, DC: American Psychiatric Association.</w:t>
      </w:r>
      <w:r w:rsidR="24216CF2" w:rsidRPr="00247C5B">
        <w:rPr>
          <w:rFonts w:asciiTheme="majorHAnsi" w:eastAsia="Calibri" w:hAnsiTheme="majorHAnsi" w:cstheme="majorHAnsi"/>
        </w:rPr>
        <w:t xml:space="preserve"> </w:t>
      </w:r>
      <w:hyperlink r:id="rId35">
        <w:r w:rsidR="24216CF2" w:rsidRPr="00247C5B">
          <w:rPr>
            <w:rStyle w:val="Hyperlink"/>
            <w:rFonts w:asciiTheme="majorHAnsi" w:eastAsia="Calibri" w:hAnsiTheme="majorHAnsi" w:cstheme="majorHAnsi"/>
          </w:rPr>
          <w:t>https://dsm-psychiatryonline-org.flagship.luc.edu/doi/book/10.1176/appi.books.9780890425596</w:t>
        </w:r>
      </w:hyperlink>
    </w:p>
    <w:p w14:paraId="7B2DF6F0" w14:textId="2D8A8679" w:rsidR="38AAAF90" w:rsidRPr="00247C5B" w:rsidRDefault="4EEE00B8" w:rsidP="00247C5B">
      <w:pPr>
        <w:pStyle w:val="ListParagraph"/>
        <w:numPr>
          <w:ilvl w:val="0"/>
          <w:numId w:val="39"/>
        </w:numPr>
        <w:spacing w:after="0" w:line="240" w:lineRule="auto"/>
        <w:ind w:left="504"/>
        <w:rPr>
          <w:rFonts w:asciiTheme="majorHAnsi" w:eastAsia="Calibri" w:hAnsiTheme="majorHAnsi" w:cstheme="majorHAnsi"/>
        </w:rPr>
      </w:pPr>
      <w:r w:rsidRPr="00247C5B">
        <w:rPr>
          <w:rFonts w:asciiTheme="majorHAnsi" w:eastAsia="Calibri" w:hAnsiTheme="majorHAnsi" w:cstheme="majorHAnsi"/>
        </w:rPr>
        <w:t xml:space="preserve">Shea, S.C. (2017). </w:t>
      </w:r>
      <w:r w:rsidRPr="00247C5B">
        <w:rPr>
          <w:rFonts w:asciiTheme="majorHAnsi" w:eastAsia="Calibri" w:hAnsiTheme="majorHAnsi" w:cstheme="majorHAnsi"/>
          <w:i/>
          <w:iCs/>
        </w:rPr>
        <w:t xml:space="preserve">Psychiatric interviewing: The art of understanding </w:t>
      </w:r>
      <w:r w:rsidR="7F10B76A" w:rsidRPr="00247C5B">
        <w:rPr>
          <w:rFonts w:asciiTheme="majorHAnsi" w:eastAsia="Calibri" w:hAnsiTheme="majorHAnsi" w:cstheme="majorHAnsi"/>
        </w:rPr>
        <w:t>(3</w:t>
      </w:r>
      <w:r w:rsidR="7F10B76A" w:rsidRPr="00247C5B">
        <w:rPr>
          <w:rFonts w:asciiTheme="majorHAnsi" w:eastAsia="Calibri" w:hAnsiTheme="majorHAnsi" w:cstheme="majorHAnsi"/>
          <w:vertAlign w:val="superscript"/>
        </w:rPr>
        <w:t>rd</w:t>
      </w:r>
      <w:r w:rsidR="7F10B76A" w:rsidRPr="00247C5B">
        <w:rPr>
          <w:rFonts w:asciiTheme="majorHAnsi" w:eastAsia="Calibri" w:hAnsiTheme="majorHAnsi" w:cstheme="majorHAnsi"/>
        </w:rPr>
        <w:t xml:space="preserve"> ed.). </w:t>
      </w:r>
      <w:r w:rsidR="4CA58458" w:rsidRPr="00247C5B">
        <w:rPr>
          <w:rFonts w:asciiTheme="majorHAnsi" w:eastAsia="Calibri" w:hAnsiTheme="majorHAnsi" w:cstheme="majorHAnsi"/>
        </w:rPr>
        <w:t>London: Elsevier</w:t>
      </w:r>
    </w:p>
    <w:p w14:paraId="0FAC55D0" w14:textId="23F8B1A3" w:rsidR="38AAAF90" w:rsidRPr="00AA155A" w:rsidRDefault="38AAAF90" w:rsidP="00247C5B">
      <w:pPr>
        <w:spacing w:before="120" w:after="120"/>
        <w:rPr>
          <w:rFonts w:asciiTheme="majorHAnsi" w:hAnsiTheme="majorHAnsi" w:cstheme="majorHAnsi"/>
          <w:color w:val="922247"/>
          <w:sz w:val="24"/>
        </w:rPr>
      </w:pPr>
      <w:r w:rsidRPr="00AA155A">
        <w:rPr>
          <w:rFonts w:asciiTheme="majorHAnsi" w:eastAsia="Calibri" w:hAnsiTheme="majorHAnsi" w:cstheme="majorHAnsi"/>
          <w:b/>
          <w:bCs/>
          <w:color w:val="922247"/>
          <w:sz w:val="24"/>
        </w:rPr>
        <w:t>RECOMMENDED TEXT(S)</w:t>
      </w:r>
    </w:p>
    <w:p w14:paraId="6BF86839" w14:textId="5C1CFC60" w:rsidR="00A0305B" w:rsidRPr="00AA155A" w:rsidRDefault="00A0305B" w:rsidP="00247C5B">
      <w:pPr>
        <w:spacing w:before="120" w:after="120"/>
        <w:rPr>
          <w:rFonts w:asciiTheme="majorHAnsi" w:hAnsiTheme="majorHAnsi" w:cstheme="majorHAnsi"/>
          <w:b/>
          <w:color w:val="922247"/>
          <w:sz w:val="24"/>
        </w:rPr>
      </w:pPr>
      <w:bookmarkStart w:id="0" w:name="_GoBack"/>
      <w:r w:rsidRPr="00AA155A">
        <w:rPr>
          <w:rFonts w:asciiTheme="majorHAnsi" w:hAnsiTheme="majorHAnsi" w:cstheme="majorHAnsi"/>
          <w:b/>
          <w:color w:val="922247"/>
          <w:sz w:val="24"/>
        </w:rPr>
        <w:t>SYLLABUS REFERENCES</w:t>
      </w:r>
    </w:p>
    <w:bookmarkEnd w:id="0"/>
    <w:p w14:paraId="33C34041" w14:textId="77777777" w:rsidR="00A0305B" w:rsidRPr="001344D4" w:rsidRDefault="00A0305B" w:rsidP="00247C5B">
      <w:pPr>
        <w:spacing w:before="120" w:after="120"/>
        <w:rPr>
          <w:rFonts w:asciiTheme="majorHAnsi" w:hAnsiTheme="majorHAnsi" w:cstheme="majorHAnsi"/>
          <w:b/>
        </w:rPr>
      </w:pPr>
      <w:r w:rsidRPr="001344D4">
        <w:rPr>
          <w:rFonts w:asciiTheme="majorHAnsi" w:hAnsiTheme="majorHAnsi" w:cstheme="majorHAnsi"/>
          <w:b/>
        </w:rPr>
        <w:t>Course Feedback</w:t>
      </w:r>
    </w:p>
    <w:p w14:paraId="6484C6AB" w14:textId="604B86FE" w:rsidR="00A0305B" w:rsidRPr="001344D4" w:rsidRDefault="00A0305B" w:rsidP="00110EC6">
      <w:pPr>
        <w:spacing w:after="0" w:line="240" w:lineRule="auto"/>
        <w:rPr>
          <w:rFonts w:asciiTheme="majorHAnsi" w:hAnsiTheme="majorHAnsi" w:cstheme="majorHAnsi"/>
        </w:rPr>
      </w:pPr>
      <w:r w:rsidRPr="001344D4">
        <w:rPr>
          <w:rFonts w:asciiTheme="majorHAnsi" w:hAnsiTheme="majorHAnsi" w:cstheme="majorHAnsi"/>
        </w:rPr>
        <w:t xml:space="preserve">You will receive an email communication near the end of this semester </w:t>
      </w:r>
      <w:r w:rsidR="00110EC6" w:rsidRPr="001344D4">
        <w:rPr>
          <w:rFonts w:asciiTheme="majorHAnsi" w:hAnsiTheme="majorHAnsi" w:cstheme="majorHAnsi"/>
        </w:rPr>
        <w:t>regarding</w:t>
      </w:r>
      <w:r w:rsidRPr="001344D4">
        <w:rPr>
          <w:rFonts w:asciiTheme="majorHAnsi" w:hAnsiTheme="majorHAnsi" w:cstheme="majorHAnsi"/>
        </w:rPr>
        <w:t xml:space="preserve">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65A74789" w14:textId="54C66BC8" w:rsidR="00A0305B" w:rsidRPr="001344D4" w:rsidRDefault="00A0305B">
      <w:pPr>
        <w:rPr>
          <w:rFonts w:asciiTheme="majorHAnsi" w:hAnsiTheme="majorHAnsi" w:cstheme="majorHAnsi"/>
        </w:rPr>
      </w:pPr>
      <w:r w:rsidRPr="001344D4">
        <w:rPr>
          <w:rFonts w:asciiTheme="majorHAnsi" w:hAnsiTheme="majorHAnsi" w:cstheme="majorHAnsi"/>
        </w:rPr>
        <w:br w:type="page"/>
      </w:r>
    </w:p>
    <w:p w14:paraId="42245561" w14:textId="1B9548A2" w:rsidR="006D421A" w:rsidRPr="00056477" w:rsidRDefault="00D61CCA" w:rsidP="00056477">
      <w:pPr>
        <w:pStyle w:val="Heading4"/>
        <w:spacing w:before="120" w:after="120"/>
        <w:jc w:val="center"/>
        <w:rPr>
          <w:rFonts w:cstheme="majorHAnsi"/>
          <w:b/>
          <w:bCs/>
          <w:i w:val="0"/>
          <w:iCs w:val="0"/>
          <w:color w:val="C00000"/>
        </w:rPr>
      </w:pPr>
      <w:r w:rsidRPr="00056477">
        <w:rPr>
          <w:rFonts w:cstheme="majorHAnsi"/>
          <w:b/>
          <w:bCs/>
          <w:i w:val="0"/>
          <w:iCs w:val="0"/>
          <w:color w:val="922247"/>
        </w:rPr>
        <w:lastRenderedPageBreak/>
        <w:t>COURSE SCHEDULE</w:t>
      </w:r>
    </w:p>
    <w:p w14:paraId="27D36FDC" w14:textId="77777777" w:rsidR="00027A71" w:rsidRPr="00056477" w:rsidRDefault="006D421A" w:rsidP="001B4284">
      <w:pPr>
        <w:spacing w:before="120" w:after="120" w:line="240" w:lineRule="auto"/>
        <w:rPr>
          <w:rFonts w:asciiTheme="majorHAnsi" w:hAnsiTheme="majorHAnsi" w:cstheme="majorHAnsi"/>
          <w:b/>
          <w:bCs/>
          <w:sz w:val="24"/>
          <w:szCs w:val="24"/>
        </w:rPr>
      </w:pPr>
      <w:r w:rsidRPr="00056477">
        <w:rPr>
          <w:rFonts w:asciiTheme="majorHAnsi" w:hAnsiTheme="majorHAnsi" w:cstheme="majorHAnsi"/>
          <w:b/>
          <w:bCs/>
          <w:sz w:val="24"/>
          <w:szCs w:val="24"/>
        </w:rPr>
        <w:t>Module 1</w:t>
      </w:r>
    </w:p>
    <w:p w14:paraId="15A87009" w14:textId="571DA86E" w:rsidR="006D421A" w:rsidRPr="00056477" w:rsidRDefault="006D421A" w:rsidP="00056477">
      <w:pPr>
        <w:spacing w:before="120" w:after="120" w:line="240" w:lineRule="auto"/>
        <w:ind w:left="144"/>
        <w:rPr>
          <w:rFonts w:asciiTheme="majorHAnsi" w:hAnsiTheme="majorHAnsi" w:cstheme="majorHAnsi"/>
          <w:b/>
          <w:bCs/>
        </w:rPr>
      </w:pPr>
      <w:r w:rsidRPr="00056477">
        <w:rPr>
          <w:rFonts w:asciiTheme="majorHAnsi" w:eastAsia="Calibri" w:hAnsiTheme="majorHAnsi" w:cstheme="majorHAnsi"/>
          <w:b/>
          <w:bCs/>
        </w:rPr>
        <w:t>Community Immersion Program (NOTE: FA SEMESTER ONLY, ADJUST SCHEDULE FOR SP and SU)</w:t>
      </w:r>
    </w:p>
    <w:p w14:paraId="31B47CA9" w14:textId="3A3820CA" w:rsidR="006D421A" w:rsidRDefault="006D421A" w:rsidP="0005647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64EC645" w14:textId="0214F9A7" w:rsidR="00056477" w:rsidRPr="00056477" w:rsidRDefault="00056477" w:rsidP="0005647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000A38E5" w14:textId="77777777" w:rsidR="006D421A" w:rsidRPr="001B4284" w:rsidRDefault="006D421A" w:rsidP="0077475D">
      <w:pPr>
        <w:pStyle w:val="ListParagraph"/>
        <w:numPr>
          <w:ilvl w:val="0"/>
          <w:numId w:val="5"/>
        </w:numPr>
        <w:spacing w:after="0" w:line="240" w:lineRule="auto"/>
        <w:ind w:left="504"/>
        <w:rPr>
          <w:rFonts w:asciiTheme="majorHAnsi" w:eastAsiaTheme="minorEastAsia" w:hAnsiTheme="majorHAnsi" w:cstheme="majorHAnsi"/>
        </w:rPr>
      </w:pPr>
      <w:r w:rsidRPr="001B4284">
        <w:rPr>
          <w:rFonts w:asciiTheme="majorHAnsi" w:eastAsiaTheme="minorEastAsia" w:hAnsiTheme="majorHAnsi" w:cstheme="majorHAnsi"/>
          <w:color w:val="000000" w:themeColor="text1"/>
        </w:rPr>
        <w:t xml:space="preserve">Reflect upon their forthcoming experiences in the social work program. </w:t>
      </w:r>
    </w:p>
    <w:p w14:paraId="233568A8" w14:textId="77777777" w:rsidR="006D421A" w:rsidRPr="001B4284" w:rsidRDefault="006D421A" w:rsidP="0077475D">
      <w:pPr>
        <w:pStyle w:val="ListParagraph"/>
        <w:numPr>
          <w:ilvl w:val="0"/>
          <w:numId w:val="5"/>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Promote self-reflection related to personal biases, assumptions, stereotypes, privileges, and the impact it may have upon their continued personal and professional growth as a social worker. </w:t>
      </w:r>
    </w:p>
    <w:p w14:paraId="52FCC91A" w14:textId="77777777" w:rsidR="006D421A" w:rsidRPr="001B4284" w:rsidRDefault="006D421A" w:rsidP="0077475D">
      <w:pPr>
        <w:pStyle w:val="ListParagraph"/>
        <w:numPr>
          <w:ilvl w:val="0"/>
          <w:numId w:val="5"/>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Assess the meaning and importance of safe and brave classroom spaces and the positive role students can contribute to promoting such spaces in the classroom, field, and beyond. </w:t>
      </w:r>
    </w:p>
    <w:p w14:paraId="72DF6A9F" w14:textId="255B21EF" w:rsidR="006D421A" w:rsidRPr="001B4284" w:rsidRDefault="006D421A" w:rsidP="0005647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6681BC27"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Brave Space: Classroom Basics </w:t>
      </w:r>
      <w:hyperlink r:id="rId36">
        <w:r w:rsidRPr="001B4284">
          <w:rPr>
            <w:rStyle w:val="Hyperlink"/>
            <w:rFonts w:asciiTheme="majorHAnsi" w:eastAsiaTheme="minorEastAsia" w:hAnsiTheme="majorHAnsi" w:cstheme="majorHAnsi"/>
          </w:rPr>
          <w:t>https://medium.com/@amarquez628/brave-space-classroom-basics-b1fba7c9ac5b</w:t>
        </w:r>
      </w:hyperlink>
      <w:r w:rsidRPr="001B4284">
        <w:rPr>
          <w:rFonts w:asciiTheme="majorHAnsi" w:eastAsiaTheme="minorEastAsia" w:hAnsiTheme="majorHAnsi" w:cstheme="majorHAnsi"/>
          <w:color w:val="000000" w:themeColor="text1"/>
        </w:rPr>
        <w:t xml:space="preserve"> </w:t>
      </w:r>
    </w:p>
    <w:p w14:paraId="1A1C043B"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222222"/>
        </w:rPr>
      </w:pPr>
      <w:r w:rsidRPr="001B4284">
        <w:rPr>
          <w:rFonts w:asciiTheme="majorHAnsi" w:eastAsiaTheme="minorEastAsia" w:hAnsiTheme="majorHAnsi" w:cstheme="majorHAnsi"/>
          <w:color w:val="222222"/>
        </w:rPr>
        <w:t xml:space="preserve">Bussey, S. R. (2020). Finding a path to anti-racism: </w:t>
      </w:r>
      <w:hyperlink r:id="rId37">
        <w:r w:rsidRPr="001B4284">
          <w:rPr>
            <w:rStyle w:val="Hyperlink"/>
            <w:rFonts w:asciiTheme="majorHAnsi" w:eastAsiaTheme="minorEastAsia" w:hAnsiTheme="majorHAnsi" w:cstheme="majorHAnsi"/>
          </w:rPr>
          <w:t>Pivotal childhood experiences of White helping professionals</w:t>
        </w:r>
      </w:hyperlink>
      <w:r w:rsidRPr="001B4284">
        <w:rPr>
          <w:rFonts w:asciiTheme="majorHAnsi" w:eastAsiaTheme="minorEastAsia" w:hAnsiTheme="majorHAnsi" w:cstheme="majorHAnsi"/>
          <w:color w:val="222222"/>
        </w:rPr>
        <w:t xml:space="preserve">. </w:t>
      </w:r>
      <w:r w:rsidRPr="001B4284">
        <w:rPr>
          <w:rFonts w:asciiTheme="majorHAnsi" w:eastAsiaTheme="minorEastAsia" w:hAnsiTheme="majorHAnsi" w:cstheme="majorHAnsi"/>
          <w:i/>
          <w:iCs/>
          <w:color w:val="222222"/>
        </w:rPr>
        <w:t>Qualitative Social Work</w:t>
      </w:r>
      <w:r w:rsidRPr="001B4284">
        <w:rPr>
          <w:rFonts w:asciiTheme="majorHAnsi" w:eastAsiaTheme="minorEastAsia" w:hAnsiTheme="majorHAnsi" w:cstheme="majorHAnsi"/>
          <w:color w:val="222222"/>
        </w:rPr>
        <w:t xml:space="preserve">, 1473325020923021.   </w:t>
      </w:r>
    </w:p>
    <w:p w14:paraId="3FDAF9AA"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Case Assignment “I’m a Social Worker” from: Wolfer, T., Franklin, L., &amp; Gray, K. (2013). </w:t>
      </w:r>
      <w:hyperlink r:id="rId38" w:history="1">
        <w:r w:rsidRPr="001B4284">
          <w:rPr>
            <w:rStyle w:val="Hyperlink"/>
            <w:rFonts w:asciiTheme="majorHAnsi" w:eastAsiaTheme="minorEastAsia" w:hAnsiTheme="majorHAnsi" w:cstheme="majorHAnsi"/>
            <w:i/>
            <w:iCs/>
          </w:rPr>
          <w:t>Decision Cases for Advanced Social Work Practice: Confronting Complexity</w:t>
        </w:r>
      </w:hyperlink>
      <w:r w:rsidRPr="001B4284">
        <w:rPr>
          <w:rFonts w:asciiTheme="majorHAnsi" w:eastAsiaTheme="minorEastAsia" w:hAnsiTheme="majorHAnsi" w:cstheme="majorHAnsi"/>
          <w:color w:val="000000" w:themeColor="text1"/>
        </w:rPr>
        <w:t xml:space="preserve">. Columbia University Press. </w:t>
      </w:r>
    </w:p>
    <w:p w14:paraId="4EA8CB5E" w14:textId="77777777" w:rsidR="00027A71" w:rsidRPr="001B4284" w:rsidRDefault="00027A71" w:rsidP="0077475D">
      <w:pPr>
        <w:pStyle w:val="ListParagraph"/>
        <w:numPr>
          <w:ilvl w:val="0"/>
          <w:numId w:val="6"/>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Please read the following sections: </w:t>
      </w:r>
    </w:p>
    <w:p w14:paraId="3C8EC278" w14:textId="77777777" w:rsidR="00027A71" w:rsidRPr="001B4284" w:rsidRDefault="00027A71" w:rsidP="0077475D">
      <w:pPr>
        <w:spacing w:after="0" w:line="240" w:lineRule="auto"/>
        <w:ind w:left="1260" w:hanging="540"/>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1.      To Students: </w:t>
      </w:r>
      <w:hyperlink r:id="rId39">
        <w:r w:rsidRPr="001B4284">
          <w:rPr>
            <w:rStyle w:val="Hyperlink"/>
            <w:rFonts w:asciiTheme="majorHAnsi" w:eastAsiaTheme="minorEastAsia" w:hAnsiTheme="majorHAnsi" w:cstheme="majorHAnsi"/>
          </w:rPr>
          <w:t>https://ebookcentral-proquest-com.flagship.luc.edu/lib/luc/reader.action?docID=1457785&amp;ppg=18</w:t>
        </w:r>
      </w:hyperlink>
      <w:r w:rsidRPr="001B4284">
        <w:rPr>
          <w:rFonts w:asciiTheme="majorHAnsi" w:eastAsiaTheme="minorEastAsia" w:hAnsiTheme="majorHAnsi" w:cstheme="majorHAnsi"/>
          <w:color w:val="000000" w:themeColor="text1"/>
        </w:rPr>
        <w:t xml:space="preserve"> </w:t>
      </w:r>
    </w:p>
    <w:p w14:paraId="4BC74FF5" w14:textId="77777777" w:rsidR="00027A71" w:rsidRPr="001B4284" w:rsidRDefault="00027A71" w:rsidP="0077475D">
      <w:pPr>
        <w:spacing w:after="0" w:line="240" w:lineRule="auto"/>
        <w:ind w:left="1260" w:hanging="540"/>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2.      Introduction to the Cases: </w:t>
      </w:r>
      <w:hyperlink r:id="rId40">
        <w:r w:rsidRPr="001B4284">
          <w:rPr>
            <w:rStyle w:val="Hyperlink"/>
            <w:rFonts w:asciiTheme="majorHAnsi" w:eastAsiaTheme="minorEastAsia" w:hAnsiTheme="majorHAnsi" w:cstheme="majorHAnsi"/>
          </w:rPr>
          <w:t>https://ebookcentral-proquest-com.flagship.luc.edu/lib/luc/reader.action?docID=1457785&amp;ppg=20</w:t>
        </w:r>
      </w:hyperlink>
      <w:r w:rsidRPr="001B4284">
        <w:rPr>
          <w:rFonts w:asciiTheme="majorHAnsi" w:eastAsiaTheme="minorEastAsia" w:hAnsiTheme="majorHAnsi" w:cstheme="majorHAnsi"/>
          <w:color w:val="000000" w:themeColor="text1"/>
        </w:rPr>
        <w:t xml:space="preserve"> </w:t>
      </w:r>
    </w:p>
    <w:p w14:paraId="38534617" w14:textId="77777777" w:rsidR="00027A71" w:rsidRPr="001B4284" w:rsidRDefault="00027A71" w:rsidP="0077475D">
      <w:pPr>
        <w:spacing w:after="0" w:line="240" w:lineRule="auto"/>
        <w:ind w:left="1260" w:hanging="540"/>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3.       I’m a Social Worker: </w:t>
      </w:r>
      <w:hyperlink r:id="rId41">
        <w:r w:rsidRPr="001B4284">
          <w:rPr>
            <w:rStyle w:val="Hyperlink"/>
            <w:rFonts w:asciiTheme="majorHAnsi" w:eastAsiaTheme="minorEastAsia" w:hAnsiTheme="majorHAnsi" w:cstheme="majorHAnsi"/>
          </w:rPr>
          <w:t>https://ebookcentral-proquest-com.flagship.luc.edu/lib/luc/reader.action?docID=1457785&amp;ppg=124</w:t>
        </w:r>
      </w:hyperlink>
      <w:r w:rsidRPr="001B4284">
        <w:rPr>
          <w:rFonts w:asciiTheme="majorHAnsi" w:eastAsiaTheme="minorEastAsia" w:hAnsiTheme="majorHAnsi" w:cstheme="majorHAnsi"/>
          <w:color w:val="000000" w:themeColor="text1"/>
        </w:rPr>
        <w:t xml:space="preserve"> </w:t>
      </w:r>
    </w:p>
    <w:p w14:paraId="6DB4C342" w14:textId="73FB5888"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Freire, P. (2018).Chapter 1. </w:t>
      </w:r>
      <w:hyperlink r:id="rId42" w:history="1">
        <w:r w:rsidRPr="001B4284">
          <w:rPr>
            <w:rStyle w:val="Hyperlink"/>
            <w:rFonts w:asciiTheme="majorHAnsi" w:eastAsiaTheme="minorEastAsia" w:hAnsiTheme="majorHAnsi" w:cstheme="majorHAnsi"/>
            <w:i/>
            <w:iCs/>
          </w:rPr>
          <w:t>Pedagogy of the oppressed</w:t>
        </w:r>
      </w:hyperlink>
      <w:r w:rsidRPr="001B4284">
        <w:rPr>
          <w:rFonts w:asciiTheme="majorHAnsi" w:eastAsiaTheme="minorEastAsia" w:hAnsiTheme="majorHAnsi" w:cstheme="majorHAnsi"/>
          <w:color w:val="000000" w:themeColor="text1"/>
        </w:rPr>
        <w:t xml:space="preserve"> (pp. 43-69). Bloomsbury publishing USA.</w:t>
      </w:r>
    </w:p>
    <w:p w14:paraId="6AC7B4F9" w14:textId="26436D0E"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Pryce, J. M., Gilkerson, L., &amp; Barry, J. E. (2018). </w:t>
      </w:r>
      <w:hyperlink r:id="rId43" w:history="1">
        <w:r w:rsidRPr="001B4284">
          <w:rPr>
            <w:rStyle w:val="Hyperlink"/>
            <w:rFonts w:asciiTheme="majorHAnsi" w:eastAsiaTheme="minorEastAsia" w:hAnsiTheme="majorHAnsi" w:cstheme="majorHAnsi"/>
          </w:rPr>
          <w:t>The mentoring FAN: A promising approach to enhancing attunement within the mentoring system</w:t>
        </w:r>
      </w:hyperlink>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Journal of Social Service Research</w:t>
      </w:r>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44</w:t>
      </w:r>
      <w:r w:rsidRPr="001B4284">
        <w:rPr>
          <w:rFonts w:asciiTheme="majorHAnsi" w:eastAsiaTheme="minorEastAsia" w:hAnsiTheme="majorHAnsi" w:cstheme="majorHAnsi"/>
          <w:color w:val="000000" w:themeColor="text1"/>
        </w:rPr>
        <w:t xml:space="preserve">(3), 350-364. </w:t>
      </w:r>
    </w:p>
    <w:p w14:paraId="0A76B6FC" w14:textId="42524BCF"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563C1"/>
        </w:rPr>
      </w:pPr>
      <w:r w:rsidRPr="001B4284">
        <w:rPr>
          <w:rFonts w:asciiTheme="majorHAnsi" w:eastAsiaTheme="minorEastAsia" w:hAnsiTheme="majorHAnsi" w:cstheme="majorHAnsi"/>
          <w:color w:val="000000" w:themeColor="text1"/>
        </w:rPr>
        <w:t xml:space="preserve">Gilkerson, L., &amp; Pryce, J. (2020). </w:t>
      </w:r>
      <w:hyperlink r:id="rId44" w:history="1">
        <w:r w:rsidRPr="001B4284">
          <w:rPr>
            <w:rStyle w:val="Hyperlink"/>
            <w:rFonts w:asciiTheme="majorHAnsi" w:eastAsiaTheme="minorEastAsia" w:hAnsiTheme="majorHAnsi" w:cstheme="majorHAnsi"/>
          </w:rPr>
          <w:t>The mentoring FAN: A conceptual model of Attunement for youth development settings</w:t>
        </w:r>
      </w:hyperlink>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Journal of Social Work Practice</w:t>
      </w:r>
      <w:r w:rsidRPr="001B4284">
        <w:rPr>
          <w:rFonts w:asciiTheme="majorHAnsi" w:eastAsiaTheme="minorEastAsia" w:hAnsiTheme="majorHAnsi" w:cstheme="majorHAnsi"/>
          <w:color w:val="000000" w:themeColor="text1"/>
        </w:rPr>
        <w:t>, 1-16.</w:t>
      </w:r>
      <w:r w:rsidRPr="001B4284">
        <w:rPr>
          <w:rFonts w:asciiTheme="majorHAnsi" w:eastAsiaTheme="minorEastAsia" w:hAnsiTheme="majorHAnsi" w:cstheme="majorHAnsi"/>
          <w:color w:val="0563C1"/>
        </w:rPr>
        <w:t xml:space="preserve"> </w:t>
      </w:r>
    </w:p>
    <w:p w14:paraId="0756A536" w14:textId="77777777" w:rsidR="00027A71" w:rsidRPr="001B4284" w:rsidRDefault="00027A71" w:rsidP="0077475D">
      <w:pPr>
        <w:pStyle w:val="ListParagraph"/>
        <w:numPr>
          <w:ilvl w:val="0"/>
          <w:numId w:val="7"/>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Safe and Brave Spaces </w:t>
      </w:r>
      <w:hyperlink r:id="rId45">
        <w:r w:rsidRPr="001B4284">
          <w:rPr>
            <w:rStyle w:val="Hyperlink"/>
            <w:rFonts w:asciiTheme="majorHAnsi" w:eastAsiaTheme="minorEastAsia" w:hAnsiTheme="majorHAnsi" w:cstheme="majorHAnsi"/>
          </w:rPr>
          <w:t>https://medium.com/@amarquez628/safe-and-brave-spaces-b9a3b51e107f</w:t>
        </w:r>
      </w:hyperlink>
      <w:r w:rsidRPr="001B4284">
        <w:rPr>
          <w:rFonts w:asciiTheme="majorHAnsi" w:eastAsiaTheme="minorEastAsia" w:hAnsiTheme="majorHAnsi" w:cstheme="majorHAnsi"/>
          <w:color w:val="000000" w:themeColor="text1"/>
        </w:rPr>
        <w:t xml:space="preserve"> </w:t>
      </w:r>
    </w:p>
    <w:p w14:paraId="220CBCEB" w14:textId="77777777" w:rsidR="00027A71" w:rsidRPr="001B4284" w:rsidRDefault="00027A71" w:rsidP="0077475D">
      <w:pPr>
        <w:pStyle w:val="ListParagraph"/>
        <w:numPr>
          <w:ilvl w:val="0"/>
          <w:numId w:val="7"/>
        </w:numPr>
        <w:spacing w:after="0" w:line="240" w:lineRule="auto"/>
        <w:ind w:left="504" w:right="-103"/>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Singer, J. B. (Host). (July 19, 2020). </w:t>
      </w:r>
      <w:hyperlink r:id="rId46" w:history="1">
        <w:r w:rsidRPr="001B4284">
          <w:rPr>
            <w:rStyle w:val="Hyperlink"/>
            <w:rFonts w:asciiTheme="majorHAnsi" w:eastAsiaTheme="minorEastAsia" w:hAnsiTheme="majorHAnsi" w:cstheme="majorHAnsi"/>
          </w:rPr>
          <w:t>#127 - Both/And or Either/Or: Social Work and Policing</w:t>
        </w:r>
      </w:hyperlink>
      <w:r w:rsidRPr="001B4284">
        <w:rPr>
          <w:rFonts w:asciiTheme="majorHAnsi" w:eastAsiaTheme="minorEastAsia" w:hAnsiTheme="majorHAnsi" w:cstheme="majorHAnsi"/>
          <w:color w:val="000000" w:themeColor="text1"/>
        </w:rPr>
        <w:t xml:space="preserve"> [Audio Podcast]. </w:t>
      </w:r>
      <w:r w:rsidRPr="001B4284">
        <w:rPr>
          <w:rFonts w:asciiTheme="majorHAnsi" w:eastAsiaTheme="minorEastAsia" w:hAnsiTheme="majorHAnsi" w:cstheme="majorHAnsi"/>
          <w:i/>
          <w:iCs/>
          <w:color w:val="000000" w:themeColor="text1"/>
        </w:rPr>
        <w:t>Social Work Podcast.</w:t>
      </w:r>
      <w:r w:rsidRPr="001B4284">
        <w:rPr>
          <w:rFonts w:asciiTheme="majorHAnsi" w:eastAsiaTheme="minorEastAsia" w:hAnsiTheme="majorHAnsi" w:cstheme="majorHAnsi"/>
          <w:color w:val="000000" w:themeColor="text1"/>
        </w:rPr>
        <w:t xml:space="preserve"> Retrieved from </w:t>
      </w:r>
      <w:hyperlink r:id="rId47">
        <w:r w:rsidRPr="001B4284">
          <w:rPr>
            <w:rStyle w:val="Hyperlink"/>
            <w:rFonts w:asciiTheme="majorHAnsi" w:eastAsiaTheme="minorEastAsia" w:hAnsiTheme="majorHAnsi" w:cstheme="majorHAnsi"/>
          </w:rPr>
          <w:t>https://www.socialworkpodcast.com/2020/07/socialworkpolicing.html</w:t>
        </w:r>
      </w:hyperlink>
      <w:r w:rsidRPr="001B4284">
        <w:rPr>
          <w:rFonts w:asciiTheme="majorHAnsi" w:eastAsiaTheme="minorEastAsia" w:hAnsiTheme="majorHAnsi" w:cstheme="majorHAnsi"/>
          <w:color w:val="000000" w:themeColor="text1"/>
        </w:rPr>
        <w:t xml:space="preserve"> </w:t>
      </w:r>
    </w:p>
    <w:p w14:paraId="5DB854F7" w14:textId="77777777" w:rsidR="00027A71" w:rsidRPr="001B4284" w:rsidRDefault="00027A71" w:rsidP="0077475D">
      <w:pPr>
        <w:spacing w:after="0" w:line="240" w:lineRule="auto"/>
        <w:ind w:left="389"/>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Watch on Facebook with live comments:</w:t>
      </w:r>
      <w:hyperlink r:id="rId48">
        <w:r w:rsidRPr="001B4284">
          <w:rPr>
            <w:rStyle w:val="Hyperlink"/>
            <w:rFonts w:asciiTheme="majorHAnsi" w:eastAsiaTheme="minorEastAsia" w:hAnsiTheme="majorHAnsi" w:cstheme="majorHAnsi"/>
          </w:rPr>
          <w:t>https://business.facebook.com/swpodcast/videos/310765373631603/</w:t>
        </w:r>
      </w:hyperlink>
      <w:r w:rsidRPr="001B4284">
        <w:rPr>
          <w:rFonts w:asciiTheme="majorHAnsi" w:eastAsiaTheme="minorEastAsia" w:hAnsiTheme="majorHAnsi" w:cstheme="majorHAnsi"/>
          <w:color w:val="000000" w:themeColor="text1"/>
        </w:rPr>
        <w:t xml:space="preserve"> </w:t>
      </w:r>
    </w:p>
    <w:p w14:paraId="343199A7" w14:textId="448F8D79" w:rsidR="00027A71" w:rsidRPr="00471AA1" w:rsidRDefault="00027A71" w:rsidP="0077475D">
      <w:pPr>
        <w:spacing w:after="0" w:line="240" w:lineRule="auto"/>
        <w:ind w:left="389" w:right="-463"/>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Watch on YouTube [SD] with captions: </w:t>
      </w:r>
      <w:hyperlink r:id="rId49">
        <w:r w:rsidRPr="001B4284">
          <w:rPr>
            <w:rStyle w:val="Hyperlink"/>
            <w:rFonts w:asciiTheme="majorHAnsi" w:eastAsiaTheme="minorEastAsia" w:hAnsiTheme="majorHAnsi" w:cstheme="majorHAnsi"/>
          </w:rPr>
          <w:t>https://youtu.be/daaZ-vNTDrU</w:t>
        </w:r>
      </w:hyperlink>
      <w:r w:rsidRPr="001B4284">
        <w:rPr>
          <w:rFonts w:asciiTheme="majorHAnsi" w:eastAsiaTheme="minorEastAsia" w:hAnsiTheme="majorHAnsi" w:cstheme="majorHAnsi"/>
          <w:color w:val="000000" w:themeColor="text1"/>
        </w:rPr>
        <w:t xml:space="preserve">  </w:t>
      </w:r>
    </w:p>
    <w:p w14:paraId="441EAC21" w14:textId="77777777" w:rsidR="00027A71" w:rsidRPr="00056477" w:rsidRDefault="00027A71" w:rsidP="001B4284">
      <w:pPr>
        <w:spacing w:before="120" w:after="120" w:line="240" w:lineRule="auto"/>
        <w:rPr>
          <w:rFonts w:asciiTheme="majorHAnsi" w:hAnsiTheme="majorHAnsi" w:cstheme="majorHAnsi"/>
          <w:sz w:val="24"/>
          <w:szCs w:val="24"/>
        </w:rPr>
      </w:pPr>
      <w:r w:rsidRPr="00056477">
        <w:rPr>
          <w:rFonts w:asciiTheme="majorHAnsi" w:hAnsiTheme="majorHAnsi" w:cstheme="majorHAnsi"/>
          <w:b/>
          <w:bCs/>
          <w:sz w:val="24"/>
          <w:szCs w:val="24"/>
        </w:rPr>
        <w:t>Module 2</w:t>
      </w:r>
    </w:p>
    <w:p w14:paraId="560059CC" w14:textId="7BDABB0C" w:rsidR="00027A71" w:rsidRDefault="00027A71" w:rsidP="00056477">
      <w:pPr>
        <w:spacing w:before="120" w:after="120" w:line="240" w:lineRule="auto"/>
        <w:ind w:left="144"/>
        <w:rPr>
          <w:rFonts w:asciiTheme="majorHAnsi" w:eastAsia="Calibri" w:hAnsiTheme="majorHAnsi" w:cstheme="majorHAnsi"/>
          <w:b/>
          <w:bCs/>
        </w:rPr>
      </w:pPr>
      <w:r w:rsidRPr="00056477">
        <w:rPr>
          <w:rFonts w:asciiTheme="majorHAnsi" w:eastAsia="Calibri" w:hAnsiTheme="majorHAnsi" w:cstheme="majorHAnsi"/>
          <w:b/>
          <w:bCs/>
        </w:rPr>
        <w:t>Clinical assessment and interviewing skills</w:t>
      </w:r>
      <w:r w:rsidRPr="00056477">
        <w:rPr>
          <w:rFonts w:asciiTheme="majorHAnsi" w:hAnsiTheme="majorHAnsi" w:cstheme="majorHAnsi"/>
          <w:b/>
          <w:bCs/>
        </w:rPr>
        <w:t xml:space="preserve">. </w:t>
      </w:r>
      <w:r w:rsidRPr="00056477">
        <w:rPr>
          <w:rFonts w:asciiTheme="majorHAnsi" w:eastAsia="Calibri" w:hAnsiTheme="majorHAnsi" w:cstheme="majorHAnsi"/>
          <w:b/>
          <w:bCs/>
        </w:rPr>
        <w:t>Cultural Formulation Interview</w:t>
      </w:r>
    </w:p>
    <w:p w14:paraId="1146C17C" w14:textId="12242B67" w:rsidR="00D93BCF" w:rsidRPr="00D93BCF" w:rsidRDefault="00D93BCF" w:rsidP="00056477">
      <w:pPr>
        <w:spacing w:before="120" w:after="120" w:line="240" w:lineRule="auto"/>
        <w:ind w:left="144"/>
        <w:rPr>
          <w:rFonts w:asciiTheme="majorHAnsi" w:hAnsiTheme="majorHAnsi" w:cstheme="majorHAnsi"/>
          <w:b/>
          <w:bCs/>
        </w:rPr>
      </w:pPr>
      <w:r w:rsidRPr="00D93BCF">
        <w:rPr>
          <w:rFonts w:asciiTheme="majorHAnsi" w:hAnsiTheme="majorHAnsi" w:cstheme="majorHAnsi"/>
        </w:rPr>
        <w:t>This module will introduce students to the role of assessment in social work practice, information gathered in the assessment process, and the importance of attending to culture during assessment.</w:t>
      </w:r>
    </w:p>
    <w:p w14:paraId="1A1DC4EB" w14:textId="63A01D13" w:rsidR="00027A71" w:rsidRDefault="00027A71" w:rsidP="0005647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088590B" w14:textId="1B34764E" w:rsidR="00056477" w:rsidRPr="00056477" w:rsidRDefault="00056477" w:rsidP="0005647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2015B3B5" w14:textId="77777777"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Describe the purpose of assessment in social work practice</w:t>
      </w:r>
    </w:p>
    <w:p w14:paraId="7B9BE684" w14:textId="77777777"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Discuss provider bias and cultural humility in assessment</w:t>
      </w:r>
    </w:p>
    <w:p w14:paraId="3FEB3A81" w14:textId="77777777"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lastRenderedPageBreak/>
        <w:t>Identify common components and sources of information in the assessment process</w:t>
      </w:r>
    </w:p>
    <w:p w14:paraId="7459476A" w14:textId="2E2E43C9" w:rsidR="00027A71" w:rsidRPr="001B4284" w:rsidRDefault="00027A71" w:rsidP="0077475D">
      <w:pPr>
        <w:pStyle w:val="NormalWeb"/>
        <w:numPr>
          <w:ilvl w:val="0"/>
          <w:numId w:val="8"/>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Articulate rationale for using Cultural Formulation Interview to contextualize the client’s experience and expression of distress</w:t>
      </w:r>
    </w:p>
    <w:p w14:paraId="4C6AA1E1" w14:textId="01FF9A1D" w:rsidR="00027A71" w:rsidRPr="001B4284" w:rsidRDefault="00027A71" w:rsidP="001B4284">
      <w:pPr>
        <w:spacing w:before="120" w:after="120" w:line="240" w:lineRule="auto"/>
        <w:rPr>
          <w:rFonts w:asciiTheme="majorHAnsi" w:hAnsiTheme="majorHAnsi" w:cstheme="majorHAnsi"/>
          <w:b/>
          <w:bCs/>
        </w:rPr>
      </w:pPr>
      <w:r w:rsidRPr="001B4284">
        <w:rPr>
          <w:rFonts w:asciiTheme="majorHAnsi" w:hAnsiTheme="majorHAnsi" w:cstheme="majorHAnsi"/>
          <w:b/>
          <w:bCs/>
        </w:rPr>
        <w:t>Required Resources</w:t>
      </w:r>
    </w:p>
    <w:p w14:paraId="0A9BF1BF" w14:textId="533AEDFB" w:rsidR="00027A71" w:rsidRPr="0077475D" w:rsidRDefault="00027A71" w:rsidP="0077475D">
      <w:pPr>
        <w:pStyle w:val="ListParagraph"/>
        <w:numPr>
          <w:ilvl w:val="0"/>
          <w:numId w:val="9"/>
        </w:numPr>
        <w:spacing w:after="0" w:line="240" w:lineRule="auto"/>
        <w:ind w:left="576"/>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Gray, S.W. (2016).</w:t>
      </w:r>
      <w:hyperlink r:id="rId50">
        <w:r w:rsidRPr="001B4284">
          <w:rPr>
            <w:rStyle w:val="Hyperlink"/>
            <w:rFonts w:asciiTheme="majorHAnsi" w:eastAsiaTheme="minorEastAsia" w:hAnsiTheme="majorHAnsi" w:cstheme="majorHAnsi"/>
          </w:rPr>
          <w:t xml:space="preserve"> </w:t>
        </w:r>
      </w:hyperlink>
      <w:hyperlink r:id="rId51">
        <w:r w:rsidRPr="001B4284">
          <w:rPr>
            <w:rStyle w:val="Hyperlink"/>
            <w:rFonts w:asciiTheme="majorHAnsi" w:eastAsiaTheme="minorEastAsia" w:hAnsiTheme="majorHAnsi" w:cstheme="majorHAnsi"/>
          </w:rPr>
          <w:t xml:space="preserve">An introduction to the competency-based assessment model. </w:t>
        </w:r>
      </w:hyperlink>
      <w:r w:rsidRPr="001B4284">
        <w:rPr>
          <w:rFonts w:asciiTheme="majorHAnsi" w:eastAsiaTheme="minorEastAsia" w:hAnsiTheme="majorHAnsi" w:cstheme="majorHAnsi"/>
          <w:i/>
          <w:iCs/>
          <w:color w:val="000000" w:themeColor="text1"/>
        </w:rPr>
        <w:t>Psychopathology: A competency-based assessment model for social workers</w:t>
      </w:r>
      <w:r w:rsidRPr="001B4284">
        <w:rPr>
          <w:rFonts w:asciiTheme="majorHAnsi" w:eastAsiaTheme="minorEastAsia" w:hAnsiTheme="majorHAnsi" w:cstheme="majorHAnsi"/>
          <w:color w:val="000000" w:themeColor="text1"/>
        </w:rPr>
        <w:t xml:space="preserve"> (4th ed.)</w:t>
      </w:r>
      <w:r w:rsidRPr="001B4284">
        <w:rPr>
          <w:rFonts w:asciiTheme="majorHAnsi" w:eastAsiaTheme="minorEastAsia" w:hAnsiTheme="majorHAnsi" w:cstheme="majorHAnsi"/>
          <w:i/>
          <w:iCs/>
          <w:color w:val="000000" w:themeColor="text1"/>
        </w:rPr>
        <w:t xml:space="preserve"> </w:t>
      </w:r>
      <w:r w:rsidRPr="001B4284">
        <w:rPr>
          <w:rFonts w:asciiTheme="majorHAnsi" w:eastAsiaTheme="minorEastAsia" w:hAnsiTheme="majorHAnsi" w:cstheme="majorHAnsi"/>
          <w:color w:val="000000" w:themeColor="text1"/>
        </w:rPr>
        <w:t xml:space="preserve">(pp. 1-31). Boston, MA: </w:t>
      </w:r>
      <w:r w:rsidRPr="001B4284">
        <w:rPr>
          <w:rFonts w:asciiTheme="majorHAnsi" w:eastAsia="Calibri" w:hAnsiTheme="majorHAnsi" w:cstheme="majorHAnsi"/>
          <w:color w:val="000000" w:themeColor="text1"/>
        </w:rPr>
        <w:t>Cengage</w:t>
      </w:r>
      <w:r w:rsidRPr="001B4284">
        <w:rPr>
          <w:rFonts w:asciiTheme="majorHAnsi" w:eastAsiaTheme="minorEastAsia" w:hAnsiTheme="majorHAnsi" w:cstheme="majorHAnsi"/>
          <w:color w:val="000000" w:themeColor="text1"/>
        </w:rPr>
        <w:t xml:space="preserve"> Learning.</w:t>
      </w:r>
    </w:p>
    <w:p w14:paraId="1B95D826" w14:textId="77777777" w:rsidR="00027A71" w:rsidRPr="001B4284" w:rsidRDefault="00027A71" w:rsidP="0077475D">
      <w:pPr>
        <w:pStyle w:val="ListParagraph"/>
        <w:numPr>
          <w:ilvl w:val="0"/>
          <w:numId w:val="9"/>
        </w:numPr>
        <w:spacing w:after="0" w:line="240" w:lineRule="auto"/>
        <w:ind w:left="576"/>
        <w:rPr>
          <w:rFonts w:asciiTheme="majorHAnsi" w:hAnsiTheme="majorHAnsi" w:cstheme="majorHAnsi"/>
        </w:rPr>
      </w:pPr>
      <w:r w:rsidRPr="001B4284">
        <w:rPr>
          <w:rFonts w:asciiTheme="majorHAnsi" w:hAnsiTheme="majorHAnsi" w:cstheme="majorHAnsi"/>
          <w:color w:val="000000"/>
          <w:lang w:val="es-MX"/>
        </w:rPr>
        <w:t xml:space="preserve">Legha, R. K., &amp; Miranda, J. (2020). </w:t>
      </w:r>
      <w:r w:rsidRPr="001B4284">
        <w:rPr>
          <w:rFonts w:asciiTheme="majorHAnsi" w:hAnsiTheme="majorHAnsi" w:cstheme="majorHAnsi"/>
          <w:color w:val="000000"/>
        </w:rPr>
        <w:t>An Anti-Racist Approach to Achieving Mental Health Equity in Clinical Care.</w:t>
      </w:r>
      <w:r w:rsidRPr="001B4284">
        <w:rPr>
          <w:rFonts w:asciiTheme="majorHAnsi" w:hAnsiTheme="majorHAnsi" w:cstheme="majorHAnsi"/>
          <w:i/>
          <w:iCs/>
          <w:color w:val="000000"/>
        </w:rPr>
        <w:t>Psychiatric Clinics of North America</w:t>
      </w:r>
      <w:r w:rsidRPr="001B4284">
        <w:rPr>
          <w:rFonts w:asciiTheme="majorHAnsi" w:hAnsiTheme="majorHAnsi" w:cstheme="majorHAnsi"/>
          <w:color w:val="000000"/>
        </w:rPr>
        <w:t>,</w:t>
      </w:r>
      <w:r w:rsidRPr="001B4284">
        <w:rPr>
          <w:rStyle w:val="apple-converted-space"/>
          <w:rFonts w:asciiTheme="majorHAnsi" w:hAnsiTheme="majorHAnsi" w:cstheme="majorHAnsi"/>
          <w:color w:val="000000"/>
        </w:rPr>
        <w:t> </w:t>
      </w:r>
      <w:r w:rsidRPr="001B4284">
        <w:rPr>
          <w:rFonts w:asciiTheme="majorHAnsi" w:hAnsiTheme="majorHAnsi" w:cstheme="majorHAnsi"/>
          <w:i/>
          <w:iCs/>
          <w:color w:val="000000"/>
        </w:rPr>
        <w:t>43</w:t>
      </w:r>
      <w:r w:rsidRPr="001B4284">
        <w:rPr>
          <w:rFonts w:asciiTheme="majorHAnsi" w:hAnsiTheme="majorHAnsi" w:cstheme="majorHAnsi"/>
          <w:color w:val="000000"/>
        </w:rPr>
        <w:t>(3), 451–469.</w:t>
      </w:r>
      <w:r w:rsidRPr="001B4284">
        <w:rPr>
          <w:rStyle w:val="apple-converted-space"/>
          <w:rFonts w:asciiTheme="majorHAnsi" w:hAnsiTheme="majorHAnsi" w:cstheme="majorHAnsi"/>
          <w:color w:val="000000"/>
        </w:rPr>
        <w:t> </w:t>
      </w:r>
      <w:hyperlink r:id="rId52" w:history="1">
        <w:r w:rsidRPr="001B4284">
          <w:rPr>
            <w:rStyle w:val="Hyperlink"/>
            <w:rFonts w:asciiTheme="majorHAnsi" w:hAnsiTheme="majorHAnsi" w:cstheme="majorHAnsi"/>
          </w:rPr>
          <w:t>https://doi.org/10.1016/j.psc.2020.05.002</w:t>
        </w:r>
      </w:hyperlink>
    </w:p>
    <w:p w14:paraId="5E91E047" w14:textId="77777777" w:rsidR="00027A71" w:rsidRPr="001B4284" w:rsidRDefault="00027A71" w:rsidP="0077475D">
      <w:pPr>
        <w:pStyle w:val="ListParagraph"/>
        <w:numPr>
          <w:ilvl w:val="0"/>
          <w:numId w:val="9"/>
        </w:numPr>
        <w:spacing w:after="0" w:line="240" w:lineRule="auto"/>
        <w:ind w:left="576"/>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 6, 20</w:t>
      </w:r>
    </w:p>
    <w:p w14:paraId="45C7F2FF" w14:textId="0271FE09" w:rsidR="00027A71" w:rsidRPr="001B4284" w:rsidRDefault="00027A71" w:rsidP="0077475D">
      <w:pPr>
        <w:pStyle w:val="ListParagraph"/>
        <w:numPr>
          <w:ilvl w:val="0"/>
          <w:numId w:val="9"/>
        </w:numPr>
        <w:spacing w:after="0" w:line="240" w:lineRule="auto"/>
        <w:ind w:left="576"/>
        <w:rPr>
          <w:rFonts w:asciiTheme="majorHAnsi" w:hAnsiTheme="majorHAnsi" w:cstheme="majorHAnsi"/>
        </w:rPr>
      </w:pPr>
      <w:r w:rsidRPr="001B4284">
        <w:rPr>
          <w:rFonts w:asciiTheme="majorHAnsi" w:eastAsia="Calibri" w:hAnsiTheme="majorHAnsi" w:cstheme="majorHAnsi"/>
          <w:color w:val="000000" w:themeColor="text1"/>
        </w:rPr>
        <w:t>DSM-5, Cultural Formulation Interview</w:t>
      </w:r>
    </w:p>
    <w:p w14:paraId="5B21B371" w14:textId="7EE9F587" w:rsidR="6F384353" w:rsidRPr="001B4284" w:rsidRDefault="00027A71" w:rsidP="0077475D">
      <w:pPr>
        <w:pStyle w:val="ListParagraph"/>
        <w:numPr>
          <w:ilvl w:val="0"/>
          <w:numId w:val="9"/>
        </w:numPr>
        <w:spacing w:after="0" w:line="240" w:lineRule="auto"/>
        <w:ind w:left="576"/>
        <w:rPr>
          <w:rFonts w:asciiTheme="majorHAnsi" w:hAnsiTheme="majorHAnsi" w:cstheme="majorHAnsi"/>
        </w:rPr>
      </w:pPr>
      <w:r w:rsidRPr="001B4284">
        <w:rPr>
          <w:rFonts w:asciiTheme="majorHAnsi" w:hAnsiTheme="majorHAnsi" w:cstheme="majorHAnsi"/>
        </w:rPr>
        <w:t>Recommended resources</w:t>
      </w:r>
    </w:p>
    <w:p w14:paraId="707D25EA" w14:textId="48E52007" w:rsidR="00027A71" w:rsidRPr="001B4284" w:rsidRDefault="00027A71" w:rsidP="0077475D">
      <w:pPr>
        <w:pStyle w:val="ListParagraph"/>
        <w:numPr>
          <w:ilvl w:val="0"/>
          <w:numId w:val="9"/>
        </w:numPr>
        <w:spacing w:after="0" w:line="240" w:lineRule="auto"/>
        <w:ind w:left="576"/>
        <w:rPr>
          <w:rFonts w:asciiTheme="majorHAnsi" w:hAnsiTheme="majorHAnsi" w:cstheme="majorHAnsi"/>
        </w:rPr>
      </w:pPr>
      <w:r w:rsidRPr="001B4284">
        <w:rPr>
          <w:rFonts w:asciiTheme="majorHAnsi" w:eastAsia="Calibri" w:hAnsiTheme="majorHAnsi" w:cstheme="majorHAnsi"/>
          <w:color w:val="000000" w:themeColor="text1"/>
        </w:rPr>
        <w:t xml:space="preserve">Lewis-Fernández, R., &amp; Kirmayer, L. J. (2019). Cultural concepts of distress and psychiatric disorders: Understanding symptom experience and expression in context. </w:t>
      </w:r>
      <w:r w:rsidRPr="001B4284">
        <w:rPr>
          <w:rFonts w:asciiTheme="majorHAnsi" w:eastAsia="Calibri" w:hAnsiTheme="majorHAnsi" w:cstheme="majorHAnsi"/>
          <w:i/>
          <w:iCs/>
          <w:color w:val="000000" w:themeColor="text1"/>
        </w:rPr>
        <w:t>Transcultural Psychiatry</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56</w:t>
      </w:r>
      <w:r w:rsidRPr="001B4284">
        <w:rPr>
          <w:rFonts w:asciiTheme="majorHAnsi" w:eastAsia="Calibri" w:hAnsiTheme="majorHAnsi" w:cstheme="majorHAnsi"/>
          <w:color w:val="000000" w:themeColor="text1"/>
        </w:rPr>
        <w:t xml:space="preserve">(4), 786–803. </w:t>
      </w:r>
      <w:hyperlink r:id="rId53">
        <w:r w:rsidRPr="001B4284">
          <w:rPr>
            <w:rStyle w:val="Hyperlink"/>
            <w:rFonts w:asciiTheme="majorHAnsi" w:eastAsia="Calibri" w:hAnsiTheme="majorHAnsi" w:cstheme="majorHAnsi"/>
          </w:rPr>
          <w:t>https://doi.org/10.1177/1363461519861795</w:t>
        </w:r>
      </w:hyperlink>
    </w:p>
    <w:p w14:paraId="7403D7F2" w14:textId="77777777" w:rsidR="00BA6821" w:rsidRPr="003C12C5" w:rsidRDefault="00027A71" w:rsidP="003C12C5">
      <w:pPr>
        <w:spacing w:before="120" w:after="120" w:line="240" w:lineRule="auto"/>
        <w:rPr>
          <w:rFonts w:asciiTheme="majorHAnsi" w:hAnsiTheme="majorHAnsi" w:cstheme="majorHAnsi"/>
          <w:sz w:val="24"/>
          <w:szCs w:val="24"/>
        </w:rPr>
      </w:pPr>
      <w:r w:rsidRPr="003C12C5">
        <w:rPr>
          <w:rFonts w:asciiTheme="majorHAnsi" w:hAnsiTheme="majorHAnsi" w:cstheme="majorHAnsi"/>
          <w:b/>
          <w:bCs/>
          <w:sz w:val="24"/>
          <w:szCs w:val="24"/>
        </w:rPr>
        <w:t>Module 3</w:t>
      </w:r>
    </w:p>
    <w:p w14:paraId="1B6D9B45" w14:textId="1D303E30" w:rsidR="00027A71" w:rsidRDefault="00027A71" w:rsidP="003C12C5">
      <w:pPr>
        <w:pStyle w:val="Heading2"/>
        <w:spacing w:before="120" w:after="120"/>
        <w:ind w:left="144"/>
        <w:rPr>
          <w:b/>
          <w:bCs/>
          <w:color w:val="000000" w:themeColor="text1"/>
          <w:sz w:val="22"/>
          <w:szCs w:val="22"/>
        </w:rPr>
      </w:pPr>
      <w:r w:rsidRPr="00D93BCF">
        <w:rPr>
          <w:b/>
          <w:bCs/>
          <w:color w:val="000000" w:themeColor="text1"/>
          <w:sz w:val="22"/>
          <w:szCs w:val="22"/>
        </w:rPr>
        <w:t>Clinical assessment and interviewing skills</w:t>
      </w:r>
    </w:p>
    <w:p w14:paraId="5ECE8BE1" w14:textId="2070D478" w:rsidR="00D93BCF" w:rsidRPr="003C12C5" w:rsidRDefault="00D93BCF" w:rsidP="003C12C5">
      <w:pPr>
        <w:spacing w:after="0" w:line="240" w:lineRule="auto"/>
        <w:ind w:left="144"/>
        <w:rPr>
          <w:rFonts w:asciiTheme="majorHAnsi" w:hAnsiTheme="majorHAnsi" w:cstheme="majorHAnsi"/>
        </w:rPr>
      </w:pPr>
      <w:r w:rsidRPr="003C12C5">
        <w:rPr>
          <w:rFonts w:asciiTheme="majorHAnsi" w:hAnsiTheme="majorHAnsi" w:cstheme="majorHAnsi"/>
        </w:rPr>
        <w:t>This module will focus on basic skills and tasks for conducting an assessment interview in settings in which social workers practice.</w:t>
      </w:r>
    </w:p>
    <w:p w14:paraId="14237619" w14:textId="46AB5598" w:rsidR="00027A71" w:rsidRDefault="00027A71"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5FF7818" w14:textId="3D721B12" w:rsidR="00056477" w:rsidRPr="00D93BCF" w:rsidRDefault="00056477" w:rsidP="00D93BCF">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44BB5936"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Describe strategies for promoting and enhancing client engagement</w:t>
      </w:r>
    </w:p>
    <w:p w14:paraId="625A58BD"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Formulate open-ended questions to gather information during an interview</w:t>
      </w:r>
    </w:p>
    <w:p w14:paraId="3F0B289F"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Recognize and complete tasks in a social work interview</w:t>
      </w:r>
    </w:p>
    <w:p w14:paraId="2A222D10" w14:textId="77777777" w:rsidR="00027A71" w:rsidRPr="001B4284" w:rsidRDefault="00027A71" w:rsidP="00096694">
      <w:pPr>
        <w:pStyle w:val="ListParagraph"/>
        <w:numPr>
          <w:ilvl w:val="0"/>
          <w:numId w:val="10"/>
        </w:numPr>
        <w:spacing w:after="0" w:line="240" w:lineRule="auto"/>
        <w:ind w:left="504"/>
        <w:rPr>
          <w:rFonts w:asciiTheme="majorHAnsi" w:hAnsiTheme="majorHAnsi" w:cstheme="majorHAnsi"/>
        </w:rPr>
      </w:pPr>
      <w:r w:rsidRPr="001B4284">
        <w:rPr>
          <w:rFonts w:asciiTheme="majorHAnsi" w:hAnsiTheme="majorHAnsi" w:cstheme="majorHAnsi"/>
        </w:rPr>
        <w:t>Establish a conversational style of interaction with clients</w:t>
      </w:r>
    </w:p>
    <w:p w14:paraId="7DF54094" w14:textId="0E8B4CDF" w:rsidR="00027A71" w:rsidRPr="001B4284" w:rsidRDefault="00027A71"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1110B924" w14:textId="5991B269" w:rsidR="00027A71" w:rsidRPr="001B4284" w:rsidRDefault="00027A71" w:rsidP="00096694">
      <w:pPr>
        <w:pStyle w:val="ListParagraph"/>
        <w:numPr>
          <w:ilvl w:val="0"/>
          <w:numId w:val="11"/>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2-4</w:t>
      </w:r>
    </w:p>
    <w:p w14:paraId="45764BAC" w14:textId="451D401E" w:rsidR="00027A71" w:rsidRPr="001B4284" w:rsidRDefault="00027A71" w:rsidP="003C12C5">
      <w:pPr>
        <w:spacing w:before="120" w:after="120" w:line="240" w:lineRule="auto"/>
        <w:ind w:left="144"/>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Recommended Resources</w:t>
      </w:r>
    </w:p>
    <w:p w14:paraId="0E318B8E" w14:textId="1DC37319" w:rsidR="00027A71" w:rsidRPr="001B4284" w:rsidRDefault="00027A71" w:rsidP="00096694">
      <w:pPr>
        <w:pStyle w:val="ListParagraph"/>
        <w:numPr>
          <w:ilvl w:val="0"/>
          <w:numId w:val="11"/>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Shea, Chapter 16</w:t>
      </w:r>
    </w:p>
    <w:p w14:paraId="67FCBAC6" w14:textId="365A9F0D" w:rsidR="00027A71" w:rsidRPr="00D93BCF" w:rsidRDefault="00027A71" w:rsidP="003C12C5">
      <w:pPr>
        <w:spacing w:before="120" w:after="120" w:line="240" w:lineRule="auto"/>
        <w:rPr>
          <w:rFonts w:ascii="Calibri Light" w:hAnsi="Calibri Light" w:cs="Calibri Light"/>
          <w:b/>
          <w:bCs/>
          <w:sz w:val="24"/>
          <w:szCs w:val="24"/>
        </w:rPr>
      </w:pPr>
      <w:r w:rsidRPr="00D93BCF">
        <w:rPr>
          <w:rFonts w:ascii="Calibri Light" w:hAnsi="Calibri Light" w:cs="Calibri Light"/>
          <w:b/>
          <w:bCs/>
          <w:sz w:val="24"/>
          <w:szCs w:val="24"/>
        </w:rPr>
        <w:t>Module 4</w:t>
      </w:r>
    </w:p>
    <w:p w14:paraId="4D949448" w14:textId="483C3822" w:rsidR="00027A71" w:rsidRDefault="00027A71" w:rsidP="003C12C5">
      <w:pPr>
        <w:pStyle w:val="Heading2"/>
        <w:spacing w:before="120" w:after="120"/>
        <w:ind w:left="144"/>
        <w:rPr>
          <w:b/>
          <w:bCs/>
          <w:color w:val="000000" w:themeColor="text1"/>
          <w:sz w:val="22"/>
          <w:szCs w:val="22"/>
        </w:rPr>
      </w:pPr>
      <w:r w:rsidRPr="00D93BCF">
        <w:rPr>
          <w:b/>
          <w:bCs/>
          <w:color w:val="000000" w:themeColor="text1"/>
          <w:sz w:val="22"/>
          <w:szCs w:val="22"/>
        </w:rPr>
        <w:t>Clinical assessment and interviewing skills</w:t>
      </w:r>
      <w:r w:rsidR="00BA6821" w:rsidRPr="00D93BCF">
        <w:rPr>
          <w:b/>
          <w:bCs/>
          <w:color w:val="000000" w:themeColor="text1"/>
          <w:sz w:val="22"/>
          <w:szCs w:val="22"/>
        </w:rPr>
        <w:t xml:space="preserve">. </w:t>
      </w:r>
      <w:r w:rsidRPr="00D93BCF">
        <w:rPr>
          <w:b/>
          <w:bCs/>
          <w:color w:val="000000" w:themeColor="text1"/>
          <w:sz w:val="22"/>
          <w:szCs w:val="22"/>
        </w:rPr>
        <w:t>Risk assessment (suicide, interpersonal violence)</w:t>
      </w:r>
    </w:p>
    <w:p w14:paraId="494259A0" w14:textId="296288A9" w:rsidR="00D93BCF" w:rsidRPr="003C12C5" w:rsidRDefault="00D93BCF" w:rsidP="003C12C5">
      <w:pPr>
        <w:spacing w:after="0" w:line="240" w:lineRule="auto"/>
        <w:ind w:left="144"/>
        <w:rPr>
          <w:rFonts w:asciiTheme="majorHAnsi" w:hAnsiTheme="majorHAnsi" w:cstheme="majorHAnsi"/>
        </w:rPr>
      </w:pPr>
      <w:r w:rsidRPr="003C12C5">
        <w:rPr>
          <w:rFonts w:asciiTheme="majorHAnsi" w:hAnsiTheme="majorHAnsi" w:cstheme="majorHAnsi"/>
        </w:rPr>
        <w:t>This module will expose students to skills for the assessment of risk to self or others during a comprehensive assessment.</w:t>
      </w:r>
    </w:p>
    <w:p w14:paraId="4D4B0D82" w14:textId="45BD9AAB" w:rsidR="00027A71" w:rsidRPr="001B4284" w:rsidRDefault="00027A71" w:rsidP="00D93BCF">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5158468A" w14:textId="77777777" w:rsidR="00027A71" w:rsidRPr="001B4284" w:rsidRDefault="00027A71" w:rsidP="00096694">
      <w:pPr>
        <w:pStyle w:val="ListParagraph"/>
        <w:numPr>
          <w:ilvl w:val="0"/>
          <w:numId w:val="12"/>
        </w:numPr>
        <w:spacing w:after="0" w:line="240" w:lineRule="auto"/>
        <w:ind w:left="504"/>
        <w:rPr>
          <w:rFonts w:asciiTheme="majorHAnsi" w:hAnsiTheme="majorHAnsi" w:cstheme="majorHAnsi"/>
        </w:rPr>
      </w:pPr>
      <w:r w:rsidRPr="001B4284">
        <w:rPr>
          <w:rFonts w:asciiTheme="majorHAnsi" w:hAnsiTheme="majorHAnsi" w:cstheme="majorHAnsi"/>
        </w:rPr>
        <w:t>Articulate the process of assessing risk of self-harm and suicide.</w:t>
      </w:r>
    </w:p>
    <w:p w14:paraId="4296ECAE" w14:textId="77777777" w:rsidR="00027A71" w:rsidRPr="001B4284" w:rsidRDefault="00027A71" w:rsidP="00096694">
      <w:pPr>
        <w:pStyle w:val="ListParagraph"/>
        <w:numPr>
          <w:ilvl w:val="0"/>
          <w:numId w:val="12"/>
        </w:numPr>
        <w:spacing w:after="0" w:line="240" w:lineRule="auto"/>
        <w:ind w:left="504"/>
        <w:rPr>
          <w:rFonts w:asciiTheme="majorHAnsi" w:hAnsiTheme="majorHAnsi" w:cstheme="majorHAnsi"/>
        </w:rPr>
      </w:pPr>
      <w:r w:rsidRPr="001B4284">
        <w:rPr>
          <w:rFonts w:asciiTheme="majorHAnsi" w:hAnsiTheme="majorHAnsi" w:cstheme="majorHAnsi"/>
        </w:rPr>
        <w:t xml:space="preserve">List the validation techniques used in risk assessment. </w:t>
      </w:r>
    </w:p>
    <w:p w14:paraId="3302B32B" w14:textId="77777777" w:rsidR="00027A71" w:rsidRPr="001B4284" w:rsidRDefault="00027A71" w:rsidP="00096694">
      <w:pPr>
        <w:pStyle w:val="ListParagraph"/>
        <w:numPr>
          <w:ilvl w:val="0"/>
          <w:numId w:val="12"/>
        </w:numPr>
        <w:spacing w:after="0" w:line="240" w:lineRule="auto"/>
        <w:ind w:left="504"/>
        <w:rPr>
          <w:rFonts w:asciiTheme="majorHAnsi" w:hAnsiTheme="majorHAnsi" w:cstheme="majorHAnsi"/>
        </w:rPr>
      </w:pPr>
      <w:r w:rsidRPr="001B4284">
        <w:rPr>
          <w:rFonts w:asciiTheme="majorHAnsi" w:hAnsiTheme="majorHAnsi" w:cstheme="majorHAnsi"/>
        </w:rPr>
        <w:t>Distinguish between ideation, intent, plan, and attempt</w:t>
      </w:r>
    </w:p>
    <w:p w14:paraId="15E3704F" w14:textId="41FBE139" w:rsidR="00027A71" w:rsidRPr="001B4284" w:rsidRDefault="00BA6821" w:rsidP="00D93BCF">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3EEDE892" w14:textId="77777777" w:rsidR="00BA6821" w:rsidRPr="001B4284" w:rsidRDefault="00BA6821" w:rsidP="00096694">
      <w:pPr>
        <w:pStyle w:val="ListParagraph"/>
        <w:numPr>
          <w:ilvl w:val="0"/>
          <w:numId w:val="11"/>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 5, 17</w:t>
      </w:r>
    </w:p>
    <w:p w14:paraId="76FC0F8F" w14:textId="3464224E" w:rsidR="00BA6821" w:rsidRPr="001B4284" w:rsidRDefault="00BA6821" w:rsidP="00096694">
      <w:pPr>
        <w:pStyle w:val="ListParagraph"/>
        <w:numPr>
          <w:ilvl w:val="0"/>
          <w:numId w:val="11"/>
        </w:numPr>
        <w:spacing w:after="0" w:line="240" w:lineRule="auto"/>
        <w:ind w:left="504"/>
        <w:rPr>
          <w:rStyle w:val="Hyperlink"/>
          <w:rFonts w:asciiTheme="majorHAnsi" w:hAnsiTheme="majorHAnsi" w:cstheme="majorHAnsi"/>
          <w:color w:val="auto"/>
          <w:u w:val="none"/>
        </w:rPr>
      </w:pPr>
      <w:r w:rsidRPr="001B4284">
        <w:rPr>
          <w:rFonts w:asciiTheme="majorHAnsi" w:eastAsia="Calibri" w:hAnsiTheme="majorHAnsi" w:cstheme="majorHAnsi"/>
        </w:rPr>
        <w:lastRenderedPageBreak/>
        <w:t>Todahl, J., Nekkanti, A., &amp; Schnabler, S. (2020). Universal Screening and Education: A Client-</w:t>
      </w:r>
      <w:r w:rsidRPr="001B4284">
        <w:rPr>
          <w:rFonts w:asciiTheme="majorHAnsi" w:eastAsia="Calibri" w:hAnsiTheme="majorHAnsi" w:cstheme="majorHAnsi"/>
          <w:color w:val="000000" w:themeColor="text1"/>
        </w:rPr>
        <w:t>Centered</w:t>
      </w:r>
      <w:r w:rsidRPr="001B4284">
        <w:rPr>
          <w:rFonts w:asciiTheme="majorHAnsi" w:eastAsia="Calibri" w:hAnsiTheme="majorHAnsi" w:cstheme="majorHAnsi"/>
        </w:rPr>
        <w:t xml:space="preserve"> Protocol for Normalizing Intimate Partner Violence Conversation in Clinical Practice. </w:t>
      </w:r>
      <w:r w:rsidRPr="001B4284">
        <w:rPr>
          <w:rFonts w:asciiTheme="majorHAnsi" w:eastAsia="Calibri" w:hAnsiTheme="majorHAnsi" w:cstheme="majorHAnsi"/>
          <w:i/>
          <w:iCs/>
        </w:rPr>
        <w:t>Journal of Couple &amp; Relationship Therapy</w:t>
      </w:r>
      <w:r w:rsidRPr="001B4284">
        <w:rPr>
          <w:rFonts w:asciiTheme="majorHAnsi" w:eastAsia="Calibri" w:hAnsiTheme="majorHAnsi" w:cstheme="majorHAnsi"/>
        </w:rPr>
        <w:t xml:space="preserve">, </w:t>
      </w:r>
      <w:r w:rsidRPr="001B4284">
        <w:rPr>
          <w:rFonts w:asciiTheme="majorHAnsi" w:eastAsia="Calibri" w:hAnsiTheme="majorHAnsi" w:cstheme="majorHAnsi"/>
          <w:i/>
          <w:iCs/>
        </w:rPr>
        <w:t>19</w:t>
      </w:r>
      <w:r w:rsidRPr="001B4284">
        <w:rPr>
          <w:rFonts w:asciiTheme="majorHAnsi" w:eastAsia="Calibri" w:hAnsiTheme="majorHAnsi" w:cstheme="majorHAnsi"/>
        </w:rPr>
        <w:t xml:space="preserve">(4), 322–346. </w:t>
      </w:r>
      <w:hyperlink r:id="rId54">
        <w:r w:rsidRPr="001B4284">
          <w:rPr>
            <w:rStyle w:val="Hyperlink"/>
            <w:rFonts w:asciiTheme="majorHAnsi" w:eastAsia="Calibri" w:hAnsiTheme="majorHAnsi" w:cstheme="majorHAnsi"/>
          </w:rPr>
          <w:t>https://doi.org/10.1080/15332691.2020.1835595</w:t>
        </w:r>
      </w:hyperlink>
    </w:p>
    <w:p w14:paraId="24D7855A" w14:textId="7995C7E1" w:rsidR="00032CF4" w:rsidRPr="00D93BCF" w:rsidRDefault="00BA6821" w:rsidP="00D93BCF">
      <w:pPr>
        <w:pStyle w:val="Heading1"/>
        <w:rPr>
          <w:b/>
          <w:bCs/>
          <w:color w:val="000000" w:themeColor="text1"/>
          <w:sz w:val="24"/>
          <w:szCs w:val="24"/>
        </w:rPr>
      </w:pPr>
      <w:r w:rsidRPr="00D93BCF">
        <w:rPr>
          <w:b/>
          <w:bCs/>
          <w:color w:val="000000" w:themeColor="text1"/>
          <w:sz w:val="24"/>
          <w:szCs w:val="24"/>
        </w:rPr>
        <w:t>Module 5</w:t>
      </w:r>
    </w:p>
    <w:p w14:paraId="727DBB8F" w14:textId="77F62B66" w:rsidR="00BA6821" w:rsidRDefault="00BA6821" w:rsidP="00D93BCF">
      <w:pPr>
        <w:pStyle w:val="Heading2"/>
        <w:spacing w:before="120" w:after="120"/>
        <w:ind w:left="144"/>
        <w:rPr>
          <w:b/>
          <w:bCs/>
          <w:color w:val="000000" w:themeColor="text1"/>
          <w:sz w:val="22"/>
          <w:szCs w:val="22"/>
        </w:rPr>
      </w:pPr>
      <w:r w:rsidRPr="00D93BCF">
        <w:rPr>
          <w:b/>
          <w:bCs/>
          <w:color w:val="000000" w:themeColor="text1"/>
          <w:sz w:val="22"/>
          <w:szCs w:val="22"/>
        </w:rPr>
        <w:t>Neurobiology and psychopharmacology</w:t>
      </w:r>
    </w:p>
    <w:p w14:paraId="39EBE629" w14:textId="2E865E0B" w:rsidR="00D93BCF" w:rsidRPr="003C12C5" w:rsidRDefault="00D93BCF" w:rsidP="003C12C5">
      <w:pPr>
        <w:spacing w:after="0" w:line="240" w:lineRule="auto"/>
        <w:ind w:left="144"/>
        <w:rPr>
          <w:rFonts w:asciiTheme="majorHAnsi" w:hAnsiTheme="majorHAnsi" w:cstheme="majorHAnsi"/>
        </w:rPr>
      </w:pPr>
      <w:r w:rsidRPr="003C12C5">
        <w:rPr>
          <w:rFonts w:asciiTheme="majorHAnsi" w:hAnsiTheme="majorHAnsi" w:cstheme="majorHAnsi"/>
        </w:rPr>
        <w:t>This module will introduce students to basics of neurobiology and psychiatric medication while exploring the role of social workers in providing psychoeducation and teaching clients self-advocacy re: medications.</w:t>
      </w:r>
    </w:p>
    <w:p w14:paraId="02220844" w14:textId="6812BA31" w:rsidR="00BA6821" w:rsidRDefault="00BA6821" w:rsidP="00D93BCF">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17DD2ED" w14:textId="0938F30E" w:rsidR="00056477" w:rsidRPr="003C12C5" w:rsidRDefault="00056477" w:rsidP="003C12C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10504B85" w14:textId="77777777" w:rsidR="00BA6821" w:rsidRPr="001B4284" w:rsidRDefault="00BA6821" w:rsidP="00096694">
      <w:pPr>
        <w:pStyle w:val="ListParagraph"/>
        <w:numPr>
          <w:ilvl w:val="0"/>
          <w:numId w:val="13"/>
        </w:numPr>
        <w:spacing w:after="0" w:line="240" w:lineRule="auto"/>
        <w:ind w:left="504"/>
        <w:rPr>
          <w:rFonts w:asciiTheme="majorHAnsi" w:hAnsiTheme="majorHAnsi" w:cstheme="majorHAnsi"/>
        </w:rPr>
      </w:pPr>
      <w:r w:rsidRPr="001B4284">
        <w:rPr>
          <w:rFonts w:asciiTheme="majorHAnsi" w:hAnsiTheme="majorHAnsi" w:cstheme="majorHAnsi"/>
        </w:rPr>
        <w:t>Identify common neurotransmitters and their hypothesized relationship to specific mental illnesses.</w:t>
      </w:r>
    </w:p>
    <w:p w14:paraId="7E868C85" w14:textId="77777777" w:rsidR="00BA6821" w:rsidRPr="001B4284" w:rsidRDefault="00BA6821" w:rsidP="00096694">
      <w:pPr>
        <w:pStyle w:val="ListParagraph"/>
        <w:numPr>
          <w:ilvl w:val="0"/>
          <w:numId w:val="13"/>
        </w:numPr>
        <w:spacing w:after="0" w:line="240" w:lineRule="auto"/>
        <w:ind w:left="504"/>
        <w:rPr>
          <w:rFonts w:asciiTheme="majorHAnsi" w:hAnsiTheme="majorHAnsi" w:cstheme="majorHAnsi"/>
        </w:rPr>
      </w:pPr>
      <w:r w:rsidRPr="001B4284">
        <w:rPr>
          <w:rFonts w:asciiTheme="majorHAnsi" w:hAnsiTheme="majorHAnsi" w:cstheme="majorHAnsi"/>
        </w:rPr>
        <w:t>Identify common psychiatric medications, their theorized mechanisms of action, and side effects.</w:t>
      </w:r>
    </w:p>
    <w:p w14:paraId="115F4E6C" w14:textId="2A439A63" w:rsidR="00BA6821" w:rsidRPr="00D93BCF" w:rsidRDefault="00BA6821" w:rsidP="00096694">
      <w:pPr>
        <w:pStyle w:val="ListParagraph"/>
        <w:numPr>
          <w:ilvl w:val="0"/>
          <w:numId w:val="13"/>
        </w:numPr>
        <w:spacing w:after="0" w:line="240" w:lineRule="auto"/>
        <w:ind w:left="504"/>
        <w:rPr>
          <w:rFonts w:asciiTheme="majorHAnsi" w:hAnsiTheme="majorHAnsi" w:cstheme="majorHAnsi"/>
        </w:rPr>
      </w:pPr>
      <w:r w:rsidRPr="001B4284">
        <w:rPr>
          <w:rFonts w:asciiTheme="majorHAnsi" w:hAnsiTheme="majorHAnsi" w:cstheme="majorHAnsi"/>
        </w:rPr>
        <w:t xml:space="preserve">Articulate the role of social workers in providing psychoeducation on </w:t>
      </w:r>
      <w:r w:rsidRPr="00D93BCF">
        <w:rPr>
          <w:rFonts w:asciiTheme="majorHAnsi" w:hAnsiTheme="majorHAnsi" w:cstheme="majorHAnsi"/>
        </w:rPr>
        <w:t>psychotropic medication and assisting clients in advocating for themselves when working with prescribers.</w:t>
      </w:r>
    </w:p>
    <w:p w14:paraId="46F4A056" w14:textId="00ED8D6F" w:rsidR="00E643D9" w:rsidRPr="001B4284" w:rsidRDefault="00BA6821"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04466AC" w14:textId="77777777" w:rsidR="00BA6821" w:rsidRPr="001B4284" w:rsidRDefault="00BA6821" w:rsidP="00096694">
      <w:pPr>
        <w:pStyle w:val="ListParagraph"/>
        <w:numPr>
          <w:ilvl w:val="0"/>
          <w:numId w:val="14"/>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 xml:space="preserve">Shea, Chapter 23 </w:t>
      </w:r>
    </w:p>
    <w:p w14:paraId="34579D90" w14:textId="4EBA2AAB" w:rsidR="00BA6821" w:rsidRPr="001B4284" w:rsidRDefault="00BA6821" w:rsidP="00096694">
      <w:pPr>
        <w:pStyle w:val="ListParagraph"/>
        <w:numPr>
          <w:ilvl w:val="0"/>
          <w:numId w:val="14"/>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Marley, J. (2016). Neurobiology, neurotransmitters, mental illness and medication. (Audio recording)</w:t>
      </w:r>
    </w:p>
    <w:p w14:paraId="5703CF84" w14:textId="3AA82732" w:rsidR="00BA6821" w:rsidRPr="001B4284" w:rsidRDefault="00BA6821" w:rsidP="003C12C5">
      <w:pPr>
        <w:spacing w:before="120" w:after="120" w:line="240" w:lineRule="auto"/>
        <w:ind w:left="144"/>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Recommended Resources</w:t>
      </w:r>
    </w:p>
    <w:p w14:paraId="5FF47F54" w14:textId="41C5B55F" w:rsidR="00BA6821" w:rsidRPr="001B4284" w:rsidRDefault="00BA6821"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rPr>
        <w:t xml:space="preserve">Farmer, R. L. (2014). Interface Between Psychotropic Medications, Neurobiology, and Mental Illnesses. </w:t>
      </w:r>
      <w:r w:rsidRPr="001B4284">
        <w:rPr>
          <w:rFonts w:asciiTheme="majorHAnsi" w:eastAsia="Calibri" w:hAnsiTheme="majorHAnsi" w:cstheme="majorHAnsi"/>
          <w:i/>
          <w:iCs/>
        </w:rPr>
        <w:t>Smith College Studies in Social Work</w:t>
      </w:r>
      <w:r w:rsidRPr="001B4284">
        <w:rPr>
          <w:rFonts w:asciiTheme="majorHAnsi" w:eastAsia="Calibri" w:hAnsiTheme="majorHAnsi" w:cstheme="majorHAnsi"/>
        </w:rPr>
        <w:t xml:space="preserve">, </w:t>
      </w:r>
      <w:r w:rsidRPr="001B4284">
        <w:rPr>
          <w:rFonts w:asciiTheme="majorHAnsi" w:eastAsia="Calibri" w:hAnsiTheme="majorHAnsi" w:cstheme="majorHAnsi"/>
          <w:i/>
          <w:iCs/>
        </w:rPr>
        <w:t>84</w:t>
      </w:r>
      <w:r w:rsidRPr="001B4284">
        <w:rPr>
          <w:rFonts w:asciiTheme="majorHAnsi" w:eastAsia="Calibri" w:hAnsiTheme="majorHAnsi" w:cstheme="majorHAnsi"/>
        </w:rPr>
        <w:t xml:space="preserve">(2–3), 255–272. </w:t>
      </w:r>
      <w:hyperlink r:id="rId55">
        <w:r w:rsidRPr="001B4284">
          <w:rPr>
            <w:rStyle w:val="Hyperlink"/>
            <w:rFonts w:asciiTheme="majorHAnsi" w:eastAsia="Calibri" w:hAnsiTheme="majorHAnsi" w:cstheme="majorHAnsi"/>
          </w:rPr>
          <w:t>https://doi.org/10.1080/00377317.2014.923640</w:t>
        </w:r>
      </w:hyperlink>
    </w:p>
    <w:p w14:paraId="787868D6" w14:textId="41CD5850" w:rsidR="00A45E3D" w:rsidRPr="003C12C5" w:rsidRDefault="00BC293C" w:rsidP="003C12C5">
      <w:pPr>
        <w:pStyle w:val="Heading1"/>
        <w:rPr>
          <w:b/>
          <w:bCs/>
          <w:color w:val="000000" w:themeColor="text1"/>
          <w:sz w:val="24"/>
          <w:szCs w:val="24"/>
        </w:rPr>
      </w:pPr>
      <w:r w:rsidRPr="003C12C5">
        <w:rPr>
          <w:b/>
          <w:bCs/>
          <w:color w:val="000000" w:themeColor="text1"/>
          <w:sz w:val="24"/>
          <w:szCs w:val="24"/>
        </w:rPr>
        <w:t>Module 6</w:t>
      </w:r>
    </w:p>
    <w:p w14:paraId="7BFB2CD1" w14:textId="1447ED6B" w:rsidR="00BC293C" w:rsidRPr="003C12C5" w:rsidRDefault="00BC293C" w:rsidP="003C12C5">
      <w:pPr>
        <w:pStyle w:val="Heading2"/>
        <w:spacing w:before="120" w:after="120"/>
        <w:ind w:left="144"/>
        <w:rPr>
          <w:b/>
          <w:bCs/>
          <w:color w:val="000000" w:themeColor="text1"/>
          <w:sz w:val="22"/>
          <w:szCs w:val="22"/>
        </w:rPr>
      </w:pPr>
      <w:r w:rsidRPr="003C12C5">
        <w:rPr>
          <w:b/>
          <w:bCs/>
          <w:color w:val="000000" w:themeColor="text1"/>
          <w:sz w:val="22"/>
          <w:szCs w:val="22"/>
        </w:rPr>
        <w:t>Contextual understanding of DSM</w:t>
      </w:r>
    </w:p>
    <w:p w14:paraId="266BE5D5" w14:textId="14B2CDBC" w:rsidR="00D93BCF" w:rsidRPr="003C12C5" w:rsidRDefault="003C12C5" w:rsidP="003C12C5">
      <w:pPr>
        <w:spacing w:after="0" w:line="240" w:lineRule="auto"/>
        <w:ind w:left="144"/>
        <w:rPr>
          <w:rFonts w:asciiTheme="majorHAnsi" w:eastAsiaTheme="minorEastAsia" w:hAnsiTheme="majorHAnsi" w:cstheme="majorHAnsi"/>
        </w:rPr>
      </w:pPr>
      <w:r w:rsidRPr="003C12C5">
        <w:rPr>
          <w:rFonts w:asciiTheme="majorHAnsi" w:hAnsiTheme="majorHAnsi" w:cstheme="majorHAnsi"/>
        </w:rPr>
        <w:t>This module will teach students to understand the strengths and limitations of diagnostic systems such as the DSM-5, with an emphasis on responsible use consistent with social work values and ethics.</w:t>
      </w:r>
    </w:p>
    <w:p w14:paraId="7B6396A2" w14:textId="167B9E56" w:rsidR="6F384353" w:rsidRDefault="00BC293C"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F76172C" w14:textId="279DB9DF" w:rsidR="00056477" w:rsidRPr="003C12C5" w:rsidRDefault="00056477" w:rsidP="003C12C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3399DCB0" w14:textId="77777777" w:rsidR="00BC293C" w:rsidRPr="001B4284" w:rsidRDefault="00BC293C" w:rsidP="00096694">
      <w:pPr>
        <w:pStyle w:val="ListParagraph"/>
        <w:numPr>
          <w:ilvl w:val="0"/>
          <w:numId w:val="16"/>
        </w:numPr>
        <w:spacing w:after="0" w:line="240" w:lineRule="auto"/>
        <w:ind w:left="504"/>
        <w:rPr>
          <w:rFonts w:asciiTheme="majorHAnsi" w:eastAsiaTheme="minorEastAsia" w:hAnsiTheme="majorHAnsi" w:cstheme="majorHAnsi"/>
        </w:rPr>
      </w:pPr>
      <w:r w:rsidRPr="001B4284">
        <w:rPr>
          <w:rFonts w:asciiTheme="majorHAnsi" w:hAnsiTheme="majorHAnsi" w:cstheme="majorHAnsi"/>
        </w:rPr>
        <w:t>Explain the process of development for the DSM-5 and earlier editions of the manual</w:t>
      </w:r>
    </w:p>
    <w:p w14:paraId="56011E50" w14:textId="77777777" w:rsidR="00BC293C" w:rsidRPr="001B4284" w:rsidRDefault="00BC293C" w:rsidP="00096694">
      <w:pPr>
        <w:pStyle w:val="ListParagraph"/>
        <w:numPr>
          <w:ilvl w:val="0"/>
          <w:numId w:val="16"/>
        </w:numPr>
        <w:spacing w:after="0" w:line="240" w:lineRule="auto"/>
        <w:ind w:left="504"/>
        <w:rPr>
          <w:rFonts w:asciiTheme="majorHAnsi" w:eastAsiaTheme="minorEastAsia" w:hAnsiTheme="majorHAnsi" w:cstheme="majorHAnsi"/>
        </w:rPr>
      </w:pPr>
      <w:r w:rsidRPr="001B4284">
        <w:rPr>
          <w:rFonts w:asciiTheme="majorHAnsi" w:hAnsiTheme="majorHAnsi" w:cstheme="majorHAnsi"/>
        </w:rPr>
        <w:t>Critique the validity of the process of development of the DSM-5 and the validity of psychiatric diagnosis</w:t>
      </w:r>
    </w:p>
    <w:p w14:paraId="52CA3D2E" w14:textId="790528F4" w:rsidR="00BC293C" w:rsidRPr="001B4284" w:rsidRDefault="00BC293C" w:rsidP="00096694">
      <w:pPr>
        <w:pStyle w:val="ListParagraph"/>
        <w:numPr>
          <w:ilvl w:val="0"/>
          <w:numId w:val="16"/>
        </w:numPr>
        <w:spacing w:after="0" w:line="240" w:lineRule="auto"/>
        <w:ind w:left="504"/>
        <w:rPr>
          <w:rFonts w:asciiTheme="majorHAnsi" w:eastAsiaTheme="minorEastAsia" w:hAnsiTheme="majorHAnsi" w:cstheme="majorHAnsi"/>
        </w:rPr>
      </w:pPr>
      <w:r w:rsidRPr="001B4284">
        <w:rPr>
          <w:rFonts w:asciiTheme="majorHAnsi" w:hAnsiTheme="majorHAnsi" w:cstheme="majorHAnsi"/>
        </w:rPr>
        <w:t>Identify the rationale for the continued use of diagnostic frameworks such as the DSM-5 and the ICD-10</w:t>
      </w:r>
    </w:p>
    <w:p w14:paraId="338776A8" w14:textId="5DEAC939" w:rsidR="00BC293C" w:rsidRPr="001B4284" w:rsidRDefault="00BC293C" w:rsidP="003C12C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A9E4479" w14:textId="77777777" w:rsidR="00BC293C" w:rsidRPr="001B4284" w:rsidRDefault="00BC293C" w:rsidP="00096694">
      <w:pPr>
        <w:pStyle w:val="ListParagraph"/>
        <w:numPr>
          <w:ilvl w:val="0"/>
          <w:numId w:val="15"/>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Dziegielewski, S. (2015). Getting started (pp. 3-22). DSM-5 in action (3rd ed.). Wiley.</w:t>
      </w:r>
    </w:p>
    <w:p w14:paraId="14B58EC1" w14:textId="77777777" w:rsidR="00BC293C" w:rsidRPr="001B4284" w:rsidRDefault="00BC293C" w:rsidP="00096694">
      <w:pPr>
        <w:pStyle w:val="ListParagraph"/>
        <w:numPr>
          <w:ilvl w:val="0"/>
          <w:numId w:val="15"/>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NNCI (2019, September 3). What’s in a Name? [Audio Podcast]. Ten to the to the 15</w:t>
      </w:r>
      <w:r w:rsidRPr="001B4284">
        <w:rPr>
          <w:rFonts w:asciiTheme="majorHAnsi" w:eastAsia="Calibri" w:hAnsiTheme="majorHAnsi" w:cstheme="majorHAnsi"/>
          <w:color w:val="000000" w:themeColor="text1"/>
          <w:vertAlign w:val="superscript"/>
        </w:rPr>
        <w:t>th</w:t>
      </w:r>
      <w:r w:rsidRPr="001B4284">
        <w:rPr>
          <w:rFonts w:asciiTheme="majorHAnsi" w:eastAsia="Calibri" w:hAnsiTheme="majorHAnsi" w:cstheme="majorHAnsi"/>
          <w:color w:val="000000" w:themeColor="text1"/>
        </w:rPr>
        <w:t xml:space="preserve">. Retrieved from </w:t>
      </w:r>
      <w:hyperlink r:id="rId56" w:history="1">
        <w:r w:rsidRPr="001B4284">
          <w:rPr>
            <w:rStyle w:val="Hyperlink"/>
            <w:rFonts w:asciiTheme="majorHAnsi" w:eastAsia="Calibri" w:hAnsiTheme="majorHAnsi" w:cstheme="majorHAnsi"/>
          </w:rPr>
          <w:t>https://www.nncionline.org/course/episode-1-whats-in-a-name/</w:t>
        </w:r>
      </w:hyperlink>
    </w:p>
    <w:p w14:paraId="14324FD1" w14:textId="77777777" w:rsidR="00BC293C" w:rsidRPr="001B4284" w:rsidRDefault="00BC293C"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Frances, A. (2012). DSM 5 is a guide not bible – Ignore its ten worst changes. </w:t>
      </w:r>
      <w:r w:rsidRPr="001B4284">
        <w:rPr>
          <w:rFonts w:asciiTheme="majorHAnsi" w:eastAsia="Calibri" w:hAnsiTheme="majorHAnsi" w:cstheme="majorHAnsi"/>
          <w:i/>
          <w:iCs/>
          <w:color w:val="000000" w:themeColor="text1"/>
        </w:rPr>
        <w:t>DSM 5 in Distress, Psychology Today</w:t>
      </w:r>
      <w:r w:rsidRPr="001B4284">
        <w:rPr>
          <w:rFonts w:asciiTheme="majorHAnsi" w:eastAsia="Calibri" w:hAnsiTheme="majorHAnsi" w:cstheme="majorHAnsi"/>
          <w:color w:val="000000" w:themeColor="text1"/>
        </w:rPr>
        <w:t xml:space="preserve">. Retrieved from </w:t>
      </w:r>
      <w:hyperlink r:id="rId57">
        <w:r w:rsidRPr="001B4284">
          <w:rPr>
            <w:rStyle w:val="Hyperlink"/>
            <w:rFonts w:asciiTheme="majorHAnsi" w:eastAsia="Calibri" w:hAnsiTheme="majorHAnsi" w:cstheme="majorHAnsi"/>
          </w:rPr>
          <w:t>https://www.psychologytoday.com/blog/dsm5-in-distress/201212/dsm-5-is-guide-not-bible-ignore-its-ten-worst-changes</w:t>
        </w:r>
      </w:hyperlink>
    </w:p>
    <w:p w14:paraId="692CC643" w14:textId="77777777" w:rsidR="00BC293C" w:rsidRPr="001B4284" w:rsidRDefault="00BC293C"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Lane, C. (2013). The NIMH withdraws support for DSM 5. Side Effects, Psychology Today. Retrieved from </w:t>
      </w:r>
      <w:hyperlink r:id="rId58">
        <w:r w:rsidRPr="001B4284">
          <w:rPr>
            <w:rStyle w:val="Hyperlink"/>
            <w:rFonts w:asciiTheme="majorHAnsi" w:eastAsia="Calibri" w:hAnsiTheme="majorHAnsi" w:cstheme="majorHAnsi"/>
          </w:rPr>
          <w:t>https://www.psychologytoday.com/blog/side-effects/201305/the-nimh-withdraws-support-dsm-5</w:t>
        </w:r>
      </w:hyperlink>
    </w:p>
    <w:p w14:paraId="1F3F2678" w14:textId="01514267" w:rsidR="00BC293C" w:rsidRPr="001B4284" w:rsidRDefault="00BC293C" w:rsidP="00096694">
      <w:pPr>
        <w:pStyle w:val="ListParagraph"/>
        <w:numPr>
          <w:ilvl w:val="0"/>
          <w:numId w:val="15"/>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Singer, J. B. (Producer). (2016, January 25). #101 - Critiques of the DSM-5: Interview with Jeffrey Lacasse, Ph.D. [Audio Podcast]. Social Work Podcast. Retrieved from</w:t>
      </w:r>
      <w:hyperlink r:id="rId59">
        <w:r w:rsidRPr="001B4284">
          <w:rPr>
            <w:rStyle w:val="Hyperlink"/>
            <w:rFonts w:asciiTheme="majorHAnsi" w:eastAsia="Calibri" w:hAnsiTheme="majorHAnsi" w:cstheme="majorHAnsi"/>
          </w:rPr>
          <w:t xml:space="preserve"> </w:t>
        </w:r>
      </w:hyperlink>
      <w:hyperlink r:id="rId60">
        <w:r w:rsidRPr="001B4284">
          <w:rPr>
            <w:rStyle w:val="Hyperlink"/>
            <w:rFonts w:asciiTheme="majorHAnsi" w:eastAsia="Calibri" w:hAnsiTheme="majorHAnsi" w:cstheme="majorHAnsi"/>
          </w:rPr>
          <w:t>http://www.socialworkpodcast.com/2016/01/DSM5critique.html</w:t>
        </w:r>
      </w:hyperlink>
    </w:p>
    <w:p w14:paraId="07B78BD9" w14:textId="435D4AE9" w:rsidR="00BC293C" w:rsidRPr="003C12C5" w:rsidRDefault="00BC293C" w:rsidP="003C12C5">
      <w:pPr>
        <w:pStyle w:val="Heading1"/>
        <w:spacing w:before="120" w:after="120" w:line="240" w:lineRule="auto"/>
        <w:rPr>
          <w:b/>
          <w:bCs/>
          <w:color w:val="000000" w:themeColor="text1"/>
          <w:sz w:val="24"/>
          <w:szCs w:val="24"/>
        </w:rPr>
      </w:pPr>
      <w:r w:rsidRPr="003C12C5">
        <w:rPr>
          <w:b/>
          <w:bCs/>
          <w:color w:val="000000" w:themeColor="text1"/>
          <w:sz w:val="24"/>
          <w:szCs w:val="24"/>
        </w:rPr>
        <w:lastRenderedPageBreak/>
        <w:t>Module 7</w:t>
      </w:r>
    </w:p>
    <w:p w14:paraId="11E2E028" w14:textId="5CDDE421" w:rsidR="00BC293C" w:rsidRDefault="00BC293C" w:rsidP="003C12C5">
      <w:pPr>
        <w:pStyle w:val="Heading2"/>
        <w:spacing w:before="120" w:after="120"/>
        <w:ind w:left="144"/>
        <w:rPr>
          <w:b/>
          <w:bCs/>
          <w:color w:val="000000" w:themeColor="text1"/>
          <w:sz w:val="22"/>
          <w:szCs w:val="22"/>
        </w:rPr>
      </w:pPr>
      <w:r w:rsidRPr="003C12C5">
        <w:rPr>
          <w:b/>
          <w:bCs/>
          <w:color w:val="000000" w:themeColor="text1"/>
          <w:sz w:val="22"/>
          <w:szCs w:val="22"/>
        </w:rPr>
        <w:t>DSM -5 Basics - Use of strengths perspective in comprehensive assessment and diagnosis</w:t>
      </w:r>
    </w:p>
    <w:p w14:paraId="4785BEFF" w14:textId="52528D2D" w:rsidR="003B11D4" w:rsidRPr="003B11D4" w:rsidRDefault="003B11D4" w:rsidP="003B11D4">
      <w:pPr>
        <w:spacing w:after="0" w:line="240" w:lineRule="auto"/>
        <w:ind w:left="144"/>
        <w:rPr>
          <w:rFonts w:asciiTheme="majorHAnsi" w:hAnsiTheme="majorHAnsi" w:cstheme="majorHAnsi"/>
        </w:rPr>
      </w:pPr>
      <w:r w:rsidRPr="003B11D4">
        <w:rPr>
          <w:rFonts w:asciiTheme="majorHAnsi" w:hAnsiTheme="majorHAnsi" w:cstheme="majorHAnsi"/>
        </w:rPr>
        <w:t>This module is designed to increase student familiarity with the DSM-5 and contextualize its use within a competency-based assessment model.</w:t>
      </w:r>
    </w:p>
    <w:p w14:paraId="68E27B17" w14:textId="596BD4BF" w:rsidR="00096694" w:rsidRDefault="00096694" w:rsidP="003C12C5">
      <w:pPr>
        <w:spacing w:before="120" w:after="120" w:line="240" w:lineRule="auto"/>
        <w:ind w:left="144"/>
        <w:rPr>
          <w:rFonts w:asciiTheme="majorHAnsi" w:eastAsia="Calibri" w:hAnsiTheme="majorHAnsi" w:cstheme="majorHAnsi"/>
          <w:b/>
          <w:bCs/>
        </w:rPr>
      </w:pPr>
      <w:r w:rsidRPr="001B4284">
        <w:rPr>
          <w:rFonts w:asciiTheme="majorHAnsi" w:eastAsia="Calibri" w:hAnsiTheme="majorHAnsi" w:cstheme="majorHAnsi"/>
          <w:b/>
          <w:bCs/>
        </w:rPr>
        <w:t>Learning Objectives</w:t>
      </w:r>
    </w:p>
    <w:p w14:paraId="75404D52" w14:textId="7EF568AA" w:rsidR="00056477" w:rsidRPr="003C12C5" w:rsidRDefault="00056477" w:rsidP="003C12C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0BF3CA2E" w14:textId="77777777" w:rsidR="00BC293C" w:rsidRPr="001B4284" w:rsidRDefault="00BC293C" w:rsidP="00096694">
      <w:pPr>
        <w:pStyle w:val="ListParagraph"/>
        <w:numPr>
          <w:ilvl w:val="0"/>
          <w:numId w:val="17"/>
        </w:numPr>
        <w:spacing w:after="0" w:line="240" w:lineRule="auto"/>
        <w:ind w:left="504"/>
        <w:rPr>
          <w:rFonts w:asciiTheme="majorHAnsi" w:hAnsiTheme="majorHAnsi" w:cstheme="majorHAnsi"/>
        </w:rPr>
      </w:pPr>
      <w:r w:rsidRPr="001B4284">
        <w:rPr>
          <w:rFonts w:asciiTheme="majorHAnsi" w:hAnsiTheme="majorHAnsi" w:cstheme="majorHAnsi"/>
        </w:rPr>
        <w:t>Describe a competency-based assessment model in which strengths and person-in-environment perspectives are included in comprehensive assessment and diagnosis</w:t>
      </w:r>
    </w:p>
    <w:p w14:paraId="3242FC4C" w14:textId="77777777" w:rsidR="00BC293C" w:rsidRPr="001B4284" w:rsidRDefault="00BC293C" w:rsidP="00096694">
      <w:pPr>
        <w:pStyle w:val="ListParagraph"/>
        <w:numPr>
          <w:ilvl w:val="0"/>
          <w:numId w:val="17"/>
        </w:numPr>
        <w:spacing w:after="0" w:line="240" w:lineRule="auto"/>
        <w:ind w:left="504"/>
        <w:rPr>
          <w:rFonts w:asciiTheme="majorHAnsi" w:hAnsiTheme="majorHAnsi" w:cstheme="majorHAnsi"/>
        </w:rPr>
      </w:pPr>
      <w:r w:rsidRPr="001B4284">
        <w:rPr>
          <w:rFonts w:asciiTheme="majorHAnsi" w:hAnsiTheme="majorHAnsi" w:cstheme="majorHAnsi"/>
        </w:rPr>
        <w:t>Describe the structure and organization of the DSM-5</w:t>
      </w:r>
    </w:p>
    <w:p w14:paraId="7FCE60D9" w14:textId="060CC089" w:rsidR="00BC293C" w:rsidRPr="001B4284" w:rsidRDefault="00BC293C" w:rsidP="00096694">
      <w:pPr>
        <w:pStyle w:val="ListParagraph"/>
        <w:numPr>
          <w:ilvl w:val="0"/>
          <w:numId w:val="17"/>
        </w:numPr>
        <w:spacing w:after="0" w:line="240" w:lineRule="auto"/>
        <w:ind w:left="504"/>
        <w:rPr>
          <w:rFonts w:asciiTheme="majorHAnsi" w:hAnsiTheme="majorHAnsi" w:cstheme="majorHAnsi"/>
        </w:rPr>
      </w:pPr>
      <w:r w:rsidRPr="001B4284">
        <w:rPr>
          <w:rFonts w:asciiTheme="majorHAnsi" w:hAnsiTheme="majorHAnsi" w:cstheme="majorHAnsi"/>
        </w:rPr>
        <w:t>Explore the integration of consumer and medical-model perspectives on mental illness</w:t>
      </w:r>
    </w:p>
    <w:p w14:paraId="76C41ECE" w14:textId="0FE883B7" w:rsidR="00BC293C" w:rsidRPr="001B4284" w:rsidRDefault="00BC293C" w:rsidP="003C12C5">
      <w:pPr>
        <w:spacing w:before="120" w:after="120" w:line="240" w:lineRule="auto"/>
        <w:ind w:left="864" w:hanging="720"/>
        <w:jc w:val="both"/>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Required Resources</w:t>
      </w:r>
    </w:p>
    <w:p w14:paraId="4A24AE27" w14:textId="4ED5AFBF" w:rsidR="00BC293C" w:rsidRPr="001B4284" w:rsidRDefault="00BC293C" w:rsidP="00096694">
      <w:pPr>
        <w:pStyle w:val="ListParagraph"/>
        <w:numPr>
          <w:ilvl w:val="0"/>
          <w:numId w:val="18"/>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 Section I</w:t>
      </w:r>
    </w:p>
    <w:p w14:paraId="7C39E60E" w14:textId="77777777" w:rsidR="00BC293C" w:rsidRPr="001B4284" w:rsidRDefault="00BC293C" w:rsidP="00096694">
      <w:pPr>
        <w:pStyle w:val="ListParagraph"/>
        <w:numPr>
          <w:ilvl w:val="0"/>
          <w:numId w:val="18"/>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Duckworth, K. (2015, April 10). Science meets the human experience: Integrating the medical and recovery models [Blog post]. Retrieved from </w:t>
      </w:r>
      <w:hyperlink r:id="rId61">
        <w:r w:rsidRPr="001B4284">
          <w:rPr>
            <w:rStyle w:val="Hyperlink"/>
            <w:rFonts w:asciiTheme="majorHAnsi" w:eastAsia="Calibri" w:hAnsiTheme="majorHAnsi" w:cstheme="majorHAnsi"/>
          </w:rPr>
          <w:t>https://www.nami.org/Blogs/NAMI-Blog/April-2015/Science-Meets-the-Human-Experience-Integrating-th#</w:t>
        </w:r>
      </w:hyperlink>
    </w:p>
    <w:p w14:paraId="543BA9C3" w14:textId="77777777" w:rsidR="00BC293C" w:rsidRPr="001B4284" w:rsidRDefault="00BC293C" w:rsidP="00096694">
      <w:pPr>
        <w:pStyle w:val="ListParagraph"/>
        <w:numPr>
          <w:ilvl w:val="0"/>
          <w:numId w:val="18"/>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Gray, S.W. (2016). An introduction to the competency-based assessment model. </w:t>
      </w:r>
      <w:r w:rsidRPr="001B4284">
        <w:rPr>
          <w:rFonts w:asciiTheme="majorHAnsi" w:eastAsia="Calibri" w:hAnsiTheme="majorHAnsi" w:cstheme="majorHAnsi"/>
          <w:i/>
          <w:iCs/>
          <w:color w:val="000000" w:themeColor="text1"/>
        </w:rPr>
        <w:t>Psychopathology: A competency-based assessment model for social workers</w:t>
      </w:r>
      <w:r w:rsidRPr="001B4284">
        <w:rPr>
          <w:rFonts w:asciiTheme="majorHAnsi" w:eastAsia="Calibri" w:hAnsiTheme="majorHAnsi" w:cstheme="majorHAnsi"/>
          <w:color w:val="000000" w:themeColor="text1"/>
        </w:rPr>
        <w:t xml:space="preserve"> (4th ed.)</w:t>
      </w:r>
      <w:r w:rsidRPr="001B4284">
        <w:rPr>
          <w:rFonts w:asciiTheme="majorHAnsi" w:eastAsia="Calibri" w:hAnsiTheme="majorHAnsi" w:cstheme="majorHAnsi"/>
          <w:i/>
          <w:iCs/>
          <w:color w:val="000000" w:themeColor="text1"/>
        </w:rPr>
        <w:t xml:space="preserve"> </w:t>
      </w:r>
      <w:r w:rsidRPr="001B4284">
        <w:rPr>
          <w:rFonts w:asciiTheme="majorHAnsi" w:eastAsia="Calibri" w:hAnsiTheme="majorHAnsi" w:cstheme="majorHAnsi"/>
          <w:color w:val="000000" w:themeColor="text1"/>
        </w:rPr>
        <w:t xml:space="preserve">(pp. 1-31). Boston, MA: Cengage Learning. </w:t>
      </w:r>
    </w:p>
    <w:p w14:paraId="6D0F9C71" w14:textId="1FD2C064" w:rsidR="00BC293C" w:rsidRPr="001B4284" w:rsidRDefault="00BC293C" w:rsidP="00096694">
      <w:pPr>
        <w:pStyle w:val="ListParagraph"/>
        <w:numPr>
          <w:ilvl w:val="0"/>
          <w:numId w:val="18"/>
        </w:numPr>
        <w:spacing w:after="0" w:line="240" w:lineRule="auto"/>
        <w:ind w:left="504"/>
        <w:rPr>
          <w:rStyle w:val="Hyperlink"/>
          <w:rFonts w:asciiTheme="majorHAnsi" w:eastAsia="Calibri" w:hAnsiTheme="majorHAnsi" w:cstheme="majorHAnsi"/>
        </w:rPr>
      </w:pPr>
      <w:r w:rsidRPr="001B4284">
        <w:rPr>
          <w:rFonts w:asciiTheme="majorHAnsi" w:eastAsia="Calibri" w:hAnsiTheme="majorHAnsi" w:cstheme="majorHAnsi"/>
          <w:color w:val="000000" w:themeColor="text1"/>
          <w:lang w:val="fr-FR"/>
        </w:rPr>
        <w:t xml:space="preserve">Stein, D. J. &amp; Illes, J.  </w:t>
      </w:r>
      <w:r w:rsidRPr="001B4284">
        <w:rPr>
          <w:rFonts w:asciiTheme="majorHAnsi" w:eastAsia="Calibri" w:hAnsiTheme="majorHAnsi" w:cstheme="majorHAnsi"/>
          <w:color w:val="000000" w:themeColor="text1"/>
        </w:rPr>
        <w:t xml:space="preserve">(2015, November 23).  Beyond scientism and skepticism:  An integrative approach to global mental health.  </w:t>
      </w:r>
      <w:r w:rsidRPr="001B4284">
        <w:rPr>
          <w:rFonts w:asciiTheme="majorHAnsi" w:eastAsia="Calibri" w:hAnsiTheme="majorHAnsi" w:cstheme="majorHAnsi"/>
          <w:i/>
          <w:iCs/>
          <w:color w:val="000000" w:themeColor="text1"/>
        </w:rPr>
        <w:t>Frontiers in Psychiatry</w:t>
      </w:r>
      <w:r w:rsidRPr="001B4284">
        <w:rPr>
          <w:rFonts w:asciiTheme="majorHAnsi" w:eastAsia="Calibri" w:hAnsiTheme="majorHAnsi" w:cstheme="majorHAnsi"/>
          <w:color w:val="000000" w:themeColor="text1"/>
        </w:rPr>
        <w:t xml:space="preserve">.  </w:t>
      </w:r>
      <w:hyperlink r:id="rId62">
        <w:r w:rsidRPr="001B4284">
          <w:rPr>
            <w:rStyle w:val="Hyperlink"/>
            <w:rFonts w:asciiTheme="majorHAnsi" w:eastAsia="Calibri" w:hAnsiTheme="majorHAnsi" w:cstheme="majorHAnsi"/>
          </w:rPr>
          <w:t>http://doi.org/10.3389/fpsyt.2015.00166</w:t>
        </w:r>
      </w:hyperlink>
    </w:p>
    <w:p w14:paraId="732B8C46" w14:textId="49CC3D1F" w:rsidR="00BC293C" w:rsidRPr="001B4284" w:rsidRDefault="00BC293C" w:rsidP="003C12C5">
      <w:pPr>
        <w:spacing w:before="120" w:after="120" w:line="240" w:lineRule="auto"/>
        <w:ind w:left="144"/>
        <w:rPr>
          <w:rStyle w:val="Hyperlink"/>
          <w:rFonts w:asciiTheme="majorHAnsi" w:eastAsia="Calibri" w:hAnsiTheme="majorHAnsi" w:cstheme="majorHAnsi"/>
          <w:b/>
          <w:bCs/>
          <w:color w:val="auto"/>
          <w:u w:val="none"/>
        </w:rPr>
      </w:pPr>
      <w:r w:rsidRPr="001B4284">
        <w:rPr>
          <w:rStyle w:val="Hyperlink"/>
          <w:rFonts w:asciiTheme="majorHAnsi" w:eastAsia="Calibri" w:hAnsiTheme="majorHAnsi" w:cstheme="majorHAnsi"/>
          <w:b/>
          <w:bCs/>
          <w:color w:val="auto"/>
          <w:u w:val="none"/>
        </w:rPr>
        <w:t>Recommended Resources</w:t>
      </w:r>
    </w:p>
    <w:p w14:paraId="4E094654" w14:textId="2DC79A81" w:rsidR="6F384353" w:rsidRPr="001B4284" w:rsidRDefault="00BC293C" w:rsidP="003C12C5">
      <w:pPr>
        <w:pStyle w:val="ListParagraph"/>
        <w:numPr>
          <w:ilvl w:val="0"/>
          <w:numId w:val="19"/>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Neighbors, H. W., Trierweiler, S. J., Ford, B. C., &amp; Muroff, J. R. (2003). Racial Differences in DSM Diagnosis Using a Semi-Structured Instrument: The Importance of Clinical Judgment in the Diagnosis of African Americans. </w:t>
      </w:r>
      <w:r w:rsidRPr="001B4284">
        <w:rPr>
          <w:rFonts w:asciiTheme="majorHAnsi" w:eastAsia="Calibri" w:hAnsiTheme="majorHAnsi" w:cstheme="majorHAnsi"/>
          <w:i/>
          <w:iCs/>
          <w:color w:val="000000" w:themeColor="text1"/>
        </w:rPr>
        <w:t>Journal of Health and Social Behavior</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44</w:t>
      </w:r>
      <w:r w:rsidRPr="001B4284">
        <w:rPr>
          <w:rFonts w:asciiTheme="majorHAnsi" w:eastAsia="Calibri" w:hAnsiTheme="majorHAnsi" w:cstheme="majorHAnsi"/>
          <w:color w:val="000000" w:themeColor="text1"/>
        </w:rPr>
        <w:t xml:space="preserve">, 237–256. </w:t>
      </w:r>
      <w:hyperlink r:id="rId63">
        <w:r w:rsidRPr="001B4284">
          <w:rPr>
            <w:rStyle w:val="Hyperlink"/>
            <w:rFonts w:asciiTheme="majorHAnsi" w:eastAsia="Calibri" w:hAnsiTheme="majorHAnsi" w:cstheme="majorHAnsi"/>
          </w:rPr>
          <w:t>https://doi.org/10.2307/1519777</w:t>
        </w:r>
      </w:hyperlink>
    </w:p>
    <w:p w14:paraId="0EBC638A" w14:textId="1105246D" w:rsidR="00BC293C" w:rsidRPr="00322BF0" w:rsidRDefault="00BC293C" w:rsidP="00322BF0">
      <w:pPr>
        <w:pStyle w:val="Heading1"/>
        <w:spacing w:before="120" w:after="120" w:line="240" w:lineRule="auto"/>
        <w:rPr>
          <w:b/>
          <w:bCs/>
          <w:color w:val="000000" w:themeColor="text1"/>
          <w:sz w:val="24"/>
          <w:szCs w:val="24"/>
        </w:rPr>
      </w:pPr>
      <w:r w:rsidRPr="00322BF0">
        <w:rPr>
          <w:b/>
          <w:bCs/>
          <w:color w:val="000000" w:themeColor="text1"/>
          <w:sz w:val="24"/>
          <w:szCs w:val="24"/>
        </w:rPr>
        <w:t>Module 8</w:t>
      </w:r>
    </w:p>
    <w:p w14:paraId="51B6A86B" w14:textId="782FE5F2" w:rsidR="00BC293C" w:rsidRDefault="00BC293C" w:rsidP="003B11D4">
      <w:pPr>
        <w:pStyle w:val="Heading2"/>
        <w:spacing w:before="120" w:after="120"/>
        <w:ind w:left="144"/>
        <w:rPr>
          <w:b/>
          <w:bCs/>
          <w:color w:val="000000" w:themeColor="text1"/>
          <w:sz w:val="22"/>
          <w:szCs w:val="22"/>
        </w:rPr>
      </w:pPr>
      <w:r w:rsidRPr="003B11D4">
        <w:rPr>
          <w:b/>
          <w:bCs/>
          <w:color w:val="000000" w:themeColor="text1"/>
          <w:sz w:val="22"/>
          <w:szCs w:val="22"/>
        </w:rPr>
        <w:t>Neurodevelopmental disorders - Z-Codes</w:t>
      </w:r>
    </w:p>
    <w:p w14:paraId="60956C7F" w14:textId="7BDF16CD" w:rsidR="003B11D4" w:rsidRPr="003B11D4" w:rsidRDefault="003B11D4" w:rsidP="003B11D4">
      <w:pPr>
        <w:spacing w:after="0" w:line="240" w:lineRule="auto"/>
        <w:ind w:left="144"/>
        <w:rPr>
          <w:rFonts w:asciiTheme="majorHAnsi" w:hAnsiTheme="majorHAnsi" w:cstheme="majorHAnsi"/>
        </w:rPr>
      </w:pPr>
      <w:r w:rsidRPr="003B11D4">
        <w:rPr>
          <w:rFonts w:asciiTheme="majorHAnsi" w:hAnsiTheme="majorHAnsi" w:cstheme="majorHAnsi"/>
        </w:rPr>
        <w:t>This module will cover diagnoses from the Neurodevelopmental Disorders section of the DSM-5, examining the criteria for the disorders as well as considering the role of culture in influencing diagnoses. This module will also cover the use of Z codes to reflect the influence of the environment on clients' presenting symptoms and concerns.</w:t>
      </w:r>
    </w:p>
    <w:p w14:paraId="25C6211F" w14:textId="2C382282" w:rsidR="00BC293C" w:rsidRDefault="00BC293C" w:rsidP="003B11D4">
      <w:pPr>
        <w:spacing w:before="120" w:after="120" w:line="240" w:lineRule="auto"/>
        <w:ind w:left="144"/>
        <w:rPr>
          <w:rFonts w:asciiTheme="majorHAnsi" w:eastAsia="Calibri" w:hAnsiTheme="majorHAnsi" w:cstheme="majorHAnsi"/>
          <w:b/>
          <w:bCs/>
        </w:rPr>
      </w:pPr>
      <w:r w:rsidRPr="001B4284">
        <w:rPr>
          <w:rFonts w:asciiTheme="majorHAnsi" w:eastAsia="Calibri" w:hAnsiTheme="majorHAnsi" w:cstheme="majorHAnsi"/>
          <w:b/>
          <w:bCs/>
        </w:rPr>
        <w:t>Learning Objectives</w:t>
      </w:r>
    </w:p>
    <w:p w14:paraId="00909286" w14:textId="6E60F0A0" w:rsidR="00056477" w:rsidRPr="003B11D4" w:rsidRDefault="00056477" w:rsidP="003B11D4">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6DF21BC1" w14:textId="77777777"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neurodevelopmental disorders to case material.</w:t>
      </w:r>
    </w:p>
    <w:p w14:paraId="7C1FB3D2" w14:textId="77777777"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Z codes to case material.</w:t>
      </w:r>
    </w:p>
    <w:p w14:paraId="0730CE11" w14:textId="77777777"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disruptive behavior disorders.</w:t>
      </w:r>
    </w:p>
    <w:p w14:paraId="792A7C5E" w14:textId="22B14F02" w:rsidR="00BC293C" w:rsidRPr="001B4284" w:rsidRDefault="00BC293C" w:rsidP="00096694">
      <w:pPr>
        <w:pStyle w:val="NormalWeb"/>
        <w:numPr>
          <w:ilvl w:val="0"/>
          <w:numId w:val="2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Identify medications commonly used to treat neurodevelopmental disorders, including mechanisms of action and side effects.</w:t>
      </w:r>
    </w:p>
    <w:p w14:paraId="33BE693E" w14:textId="77777777" w:rsidR="00BC293C" w:rsidRPr="001B4284" w:rsidRDefault="00BC293C" w:rsidP="003B11D4">
      <w:pPr>
        <w:spacing w:before="120" w:after="120" w:line="240" w:lineRule="auto"/>
        <w:ind w:left="144"/>
        <w:jc w:val="both"/>
        <w:rPr>
          <w:rFonts w:asciiTheme="majorHAnsi" w:eastAsia="Calibri" w:hAnsiTheme="majorHAnsi" w:cstheme="majorHAnsi"/>
          <w:b/>
          <w:bCs/>
          <w:color w:val="000000" w:themeColor="text1"/>
        </w:rPr>
      </w:pPr>
      <w:r w:rsidRPr="001B4284">
        <w:rPr>
          <w:rFonts w:asciiTheme="majorHAnsi" w:eastAsia="Calibri" w:hAnsiTheme="majorHAnsi" w:cstheme="majorHAnsi"/>
          <w:b/>
          <w:bCs/>
          <w:color w:val="000000" w:themeColor="text1"/>
        </w:rPr>
        <w:t>Required Resources</w:t>
      </w:r>
    </w:p>
    <w:p w14:paraId="1C1C89FE" w14:textId="77777777" w:rsidR="00BC293C" w:rsidRPr="00096694" w:rsidRDefault="00BC293C" w:rsidP="003B11D4">
      <w:pPr>
        <w:pStyle w:val="ListParagraph"/>
        <w:numPr>
          <w:ilvl w:val="0"/>
          <w:numId w:val="37"/>
        </w:numPr>
        <w:spacing w:after="0" w:line="240" w:lineRule="auto"/>
        <w:ind w:left="504"/>
        <w:rPr>
          <w:rFonts w:asciiTheme="majorHAnsi" w:hAnsiTheme="majorHAnsi" w:cstheme="majorHAnsi"/>
        </w:rPr>
      </w:pPr>
      <w:r w:rsidRPr="00096694">
        <w:rPr>
          <w:rFonts w:asciiTheme="majorHAnsi" w:eastAsia="Calibri" w:hAnsiTheme="majorHAnsi" w:cstheme="majorHAnsi"/>
          <w:color w:val="000000" w:themeColor="text1"/>
        </w:rPr>
        <w:t>DSM-5, Neurodevelopmental Disorders</w:t>
      </w:r>
    </w:p>
    <w:p w14:paraId="0DE69A36"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Fadus, M. C., Ginsburg, K. R., Sobowale, K., Halliday-Boykins, C. A., Bryant, B. E., Gray, K. M., &amp; Squeglia, L. M. (2020). Unconscious Bias and the Diagnosis of Disruptive Behavior Disorders and ADHD in African </w:t>
      </w:r>
      <w:r w:rsidRPr="001B4284">
        <w:rPr>
          <w:rFonts w:asciiTheme="majorHAnsi" w:eastAsia="Calibri" w:hAnsiTheme="majorHAnsi" w:cstheme="majorHAnsi"/>
          <w:color w:val="000000" w:themeColor="text1"/>
        </w:rPr>
        <w:lastRenderedPageBreak/>
        <w:t xml:space="preserve">American and Hispanic Youth. </w:t>
      </w:r>
      <w:r w:rsidRPr="001B4284">
        <w:rPr>
          <w:rFonts w:asciiTheme="majorHAnsi" w:eastAsia="Calibri" w:hAnsiTheme="majorHAnsi" w:cstheme="majorHAnsi"/>
          <w:i/>
          <w:iCs/>
          <w:color w:val="000000" w:themeColor="text1"/>
        </w:rPr>
        <w:t>Academic Psychiatry</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44</w:t>
      </w:r>
      <w:r w:rsidRPr="001B4284">
        <w:rPr>
          <w:rFonts w:asciiTheme="majorHAnsi" w:eastAsia="Calibri" w:hAnsiTheme="majorHAnsi" w:cstheme="majorHAnsi"/>
          <w:color w:val="000000" w:themeColor="text1"/>
        </w:rPr>
        <w:t xml:space="preserve">, 95–102. </w:t>
      </w:r>
      <w:hyperlink r:id="rId64">
        <w:r w:rsidRPr="001B4284">
          <w:rPr>
            <w:rStyle w:val="Hyperlink"/>
            <w:rFonts w:asciiTheme="majorHAnsi" w:eastAsia="Calibri" w:hAnsiTheme="majorHAnsi" w:cstheme="majorHAnsi"/>
          </w:rPr>
          <w:t>https://doi.org/10.1007/s40596-019-01127-6</w:t>
        </w:r>
      </w:hyperlink>
    </w:p>
    <w:p w14:paraId="62B6C14A"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Malcolm, L. (2015, November 1). Neurotribes. </w:t>
      </w:r>
      <w:r w:rsidRPr="001B4284">
        <w:rPr>
          <w:rFonts w:asciiTheme="majorHAnsi" w:eastAsia="Calibri" w:hAnsiTheme="majorHAnsi" w:cstheme="majorHAnsi"/>
          <w:i/>
          <w:iCs/>
          <w:color w:val="000000" w:themeColor="text1"/>
        </w:rPr>
        <w:t>All In The Mind</w:t>
      </w:r>
      <w:r w:rsidRPr="001B4284">
        <w:rPr>
          <w:rFonts w:asciiTheme="majorHAnsi" w:eastAsia="Calibri" w:hAnsiTheme="majorHAnsi" w:cstheme="majorHAnsi"/>
          <w:color w:val="000000" w:themeColor="text1"/>
        </w:rPr>
        <w:t>.</w:t>
      </w:r>
      <w:hyperlink r:id="rId65">
        <w:r w:rsidRPr="001B4284">
          <w:rPr>
            <w:rStyle w:val="Hyperlink"/>
            <w:rFonts w:asciiTheme="majorHAnsi" w:eastAsia="Calibri" w:hAnsiTheme="majorHAnsi" w:cstheme="majorHAnsi"/>
          </w:rPr>
          <w:t xml:space="preserve"> </w:t>
        </w:r>
      </w:hyperlink>
      <w:hyperlink r:id="rId66">
        <w:r w:rsidRPr="001B4284">
          <w:rPr>
            <w:rStyle w:val="Hyperlink"/>
            <w:rFonts w:asciiTheme="majorHAnsi" w:eastAsia="Calibri" w:hAnsiTheme="majorHAnsi" w:cstheme="majorHAnsi"/>
          </w:rPr>
          <w:t>http://www.abc.net.au/radionational/programs/allinthemind/neurotribes/6887954</w:t>
        </w:r>
      </w:hyperlink>
    </w:p>
    <w:p w14:paraId="18220C27"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Mulligan, J., MacCulloch, R., Good, B. &amp; Nicholas, D.B. (2012). Transparency, hope, and empowerment: A model for partnering with parents of a child with autism spectrum disorder at diagnosis and beyond. </w:t>
      </w:r>
      <w:r w:rsidRPr="001B4284">
        <w:rPr>
          <w:rFonts w:asciiTheme="majorHAnsi" w:eastAsia="Calibri" w:hAnsiTheme="majorHAnsi" w:cstheme="majorHAnsi"/>
          <w:i/>
          <w:iCs/>
          <w:color w:val="000000" w:themeColor="text1"/>
        </w:rPr>
        <w:t>Social Work in Mental Health, 10</w:t>
      </w:r>
      <w:r w:rsidRPr="001B4284">
        <w:rPr>
          <w:rFonts w:asciiTheme="majorHAnsi" w:eastAsia="Calibri" w:hAnsiTheme="majorHAnsi" w:cstheme="majorHAnsi"/>
          <w:color w:val="000000" w:themeColor="text1"/>
        </w:rPr>
        <w:t xml:space="preserve">(4), 311-330.  </w:t>
      </w:r>
      <w:hyperlink r:id="rId67">
        <w:r w:rsidRPr="001B4284">
          <w:rPr>
            <w:rStyle w:val="Hyperlink"/>
            <w:rFonts w:asciiTheme="majorHAnsi" w:eastAsia="Calibri" w:hAnsiTheme="majorHAnsi" w:cstheme="majorHAnsi"/>
          </w:rPr>
          <w:t>http://doi.org/10.1080/15332985.2012.664487</w:t>
        </w:r>
      </w:hyperlink>
    </w:p>
    <w:p w14:paraId="681546FB" w14:textId="77777777" w:rsidR="00BC293C" w:rsidRPr="001B4284" w:rsidRDefault="00BC293C" w:rsidP="003B11D4">
      <w:pPr>
        <w:pStyle w:val="ListParagraph"/>
        <w:numPr>
          <w:ilvl w:val="0"/>
          <w:numId w:val="37"/>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Walsh, J. (2016). The utility of the DSM-5 Z-codes for clinical social work diagnosis. </w:t>
      </w:r>
      <w:r w:rsidRPr="001B4284">
        <w:rPr>
          <w:rFonts w:asciiTheme="majorHAnsi" w:eastAsia="Calibri" w:hAnsiTheme="majorHAnsi" w:cstheme="majorHAnsi"/>
          <w:i/>
          <w:iCs/>
          <w:color w:val="000000" w:themeColor="text1"/>
        </w:rPr>
        <w:t>Journal of Human Behavior in the Social Environment</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26</w:t>
      </w:r>
      <w:r w:rsidRPr="001B4284">
        <w:rPr>
          <w:rFonts w:asciiTheme="majorHAnsi" w:eastAsia="Calibri" w:hAnsiTheme="majorHAnsi" w:cstheme="majorHAnsi"/>
          <w:color w:val="000000" w:themeColor="text1"/>
        </w:rPr>
        <w:t xml:space="preserve">(2), 149–153. </w:t>
      </w:r>
      <w:hyperlink r:id="rId68">
        <w:r w:rsidRPr="001B4284">
          <w:rPr>
            <w:rStyle w:val="Hyperlink"/>
            <w:rFonts w:asciiTheme="majorHAnsi" w:eastAsia="Calibri" w:hAnsiTheme="majorHAnsi" w:cstheme="majorHAnsi"/>
          </w:rPr>
          <w:t>http://doi.org/10.1080/10911359.2015.1052913</w:t>
        </w:r>
      </w:hyperlink>
    </w:p>
    <w:p w14:paraId="6BE5200C" w14:textId="77777777" w:rsidR="00BC293C" w:rsidRPr="00110EE7" w:rsidRDefault="00BC293C" w:rsidP="00110EE7">
      <w:pPr>
        <w:pStyle w:val="Heading1"/>
        <w:spacing w:before="120" w:after="120" w:line="240" w:lineRule="auto"/>
        <w:rPr>
          <w:b/>
          <w:bCs/>
          <w:color w:val="000000" w:themeColor="text1"/>
          <w:sz w:val="24"/>
          <w:szCs w:val="24"/>
        </w:rPr>
      </w:pPr>
      <w:r w:rsidRPr="00110EE7">
        <w:rPr>
          <w:b/>
          <w:bCs/>
          <w:color w:val="000000" w:themeColor="text1"/>
          <w:sz w:val="24"/>
          <w:szCs w:val="24"/>
        </w:rPr>
        <w:t>Module 9</w:t>
      </w:r>
    </w:p>
    <w:p w14:paraId="3311B506" w14:textId="3E704692" w:rsidR="00BC293C" w:rsidRPr="00110EE7" w:rsidRDefault="00BC293C" w:rsidP="00110EE7">
      <w:pPr>
        <w:pStyle w:val="Heading2"/>
        <w:spacing w:before="120" w:after="120"/>
        <w:ind w:left="144"/>
        <w:rPr>
          <w:b/>
          <w:bCs/>
          <w:color w:val="000000" w:themeColor="text1"/>
          <w:sz w:val="22"/>
          <w:szCs w:val="22"/>
        </w:rPr>
      </w:pPr>
      <w:r w:rsidRPr="00110EE7">
        <w:rPr>
          <w:b/>
          <w:bCs/>
          <w:color w:val="000000" w:themeColor="text1"/>
          <w:sz w:val="22"/>
          <w:szCs w:val="22"/>
        </w:rPr>
        <w:t xml:space="preserve">Schizophrenia spectrum and other psychotic disorders </w:t>
      </w:r>
    </w:p>
    <w:p w14:paraId="74501BFD" w14:textId="3CE54DE7" w:rsidR="003B11D4" w:rsidRPr="00110EE7" w:rsidRDefault="003B11D4" w:rsidP="00110EE7">
      <w:pPr>
        <w:spacing w:after="0" w:line="240" w:lineRule="auto"/>
        <w:ind w:left="144"/>
        <w:rPr>
          <w:rFonts w:asciiTheme="majorHAnsi" w:hAnsiTheme="majorHAnsi" w:cstheme="majorHAnsi"/>
        </w:rPr>
      </w:pPr>
      <w:r w:rsidRPr="00110EE7">
        <w:rPr>
          <w:rFonts w:asciiTheme="majorHAnsi" w:hAnsiTheme="majorHAnsi" w:cstheme="majorHAnsi"/>
        </w:rPr>
        <w:t>This module will cover diagnoses from the Schizophrenia and other Psychotic Disorders section of the DSM-5, examining the criteria for the disorders as well as considering the role of culture in influencing diagnoses.</w:t>
      </w:r>
    </w:p>
    <w:p w14:paraId="3BD092F9" w14:textId="6C90F5E1" w:rsidR="00BC293C" w:rsidRDefault="00BC293C"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10359D25" w14:textId="7F326E04" w:rsidR="00056477" w:rsidRPr="00110EE7" w:rsidRDefault="00056477" w:rsidP="00110EE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4BA32742" w14:textId="77777777" w:rsidR="00BC293C" w:rsidRPr="001B4284" w:rsidRDefault="00BC293C" w:rsidP="00096694">
      <w:pPr>
        <w:pStyle w:val="NormalWeb"/>
        <w:numPr>
          <w:ilvl w:val="0"/>
          <w:numId w:val="21"/>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schizophrenia and other psychotic disorders to case material.</w:t>
      </w:r>
    </w:p>
    <w:p w14:paraId="0602B829" w14:textId="77777777" w:rsidR="00BC293C" w:rsidRPr="001B4284" w:rsidRDefault="00BC293C" w:rsidP="00096694">
      <w:pPr>
        <w:pStyle w:val="NormalWeb"/>
        <w:numPr>
          <w:ilvl w:val="0"/>
          <w:numId w:val="21"/>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schizophrenia and other psychotic disorders.</w:t>
      </w:r>
    </w:p>
    <w:p w14:paraId="097162F2" w14:textId="697D4666" w:rsidR="00BC293C" w:rsidRPr="001B4284" w:rsidRDefault="00BC293C" w:rsidP="00096694">
      <w:pPr>
        <w:pStyle w:val="NormalWeb"/>
        <w:numPr>
          <w:ilvl w:val="0"/>
          <w:numId w:val="21"/>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Identify medications commonly used to treat schizophrenia and other psychotic disorders, including mechanisms of action and side effects.</w:t>
      </w:r>
    </w:p>
    <w:p w14:paraId="44523790" w14:textId="77777777" w:rsidR="00BC293C" w:rsidRPr="001B4284" w:rsidRDefault="00BC293C"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12A65A2" w14:textId="77777777" w:rsidR="00BC293C" w:rsidRPr="001B4284" w:rsidRDefault="00BC293C" w:rsidP="00096694">
      <w:pPr>
        <w:pStyle w:val="ListParagraph"/>
        <w:numPr>
          <w:ilvl w:val="0"/>
          <w:numId w:val="22"/>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 Schizophrenia spectrum and other psychotic disorders</w:t>
      </w:r>
    </w:p>
    <w:p w14:paraId="7289B4EA" w14:textId="77777777" w:rsidR="00BC293C" w:rsidRPr="001B4284" w:rsidRDefault="00BC293C" w:rsidP="00096694">
      <w:pPr>
        <w:pStyle w:val="ListParagraph"/>
        <w:numPr>
          <w:ilvl w:val="0"/>
          <w:numId w:val="22"/>
        </w:numPr>
        <w:spacing w:after="0" w:line="240" w:lineRule="auto"/>
        <w:ind w:left="504"/>
        <w:jc w:val="both"/>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11-12</w:t>
      </w:r>
    </w:p>
    <w:p w14:paraId="27EE76A3" w14:textId="77777777" w:rsidR="00BC293C" w:rsidRPr="001B4284" w:rsidRDefault="00BC293C" w:rsidP="00096694">
      <w:pPr>
        <w:pStyle w:val="ListParagraph"/>
        <w:numPr>
          <w:ilvl w:val="0"/>
          <w:numId w:val="22"/>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Longden, E. (2013). Listening to voices: A student’s journal from “normal” to “schizophrenic” and back highlights shortcomings in how our society deals with mental health. </w:t>
      </w:r>
      <w:r w:rsidRPr="001B4284">
        <w:rPr>
          <w:rFonts w:asciiTheme="majorHAnsi" w:eastAsia="Calibri" w:hAnsiTheme="majorHAnsi" w:cstheme="majorHAnsi"/>
          <w:i/>
          <w:iCs/>
          <w:color w:val="000000" w:themeColor="text1"/>
        </w:rPr>
        <w:t>Scientific American Mind</w:t>
      </w:r>
      <w:r w:rsidRPr="001B4284">
        <w:rPr>
          <w:rFonts w:asciiTheme="majorHAnsi" w:eastAsia="Calibri" w:hAnsiTheme="majorHAnsi" w:cstheme="majorHAnsi"/>
          <w:color w:val="000000" w:themeColor="text1"/>
        </w:rPr>
        <w:t>, September/October, 34-39. DOI: 10.1038/scientificamericanmind0913-34</w:t>
      </w:r>
    </w:p>
    <w:p w14:paraId="74830465" w14:textId="77777777" w:rsidR="00BC293C" w:rsidRPr="001B4284" w:rsidRDefault="00BC293C" w:rsidP="00096694">
      <w:pPr>
        <w:pStyle w:val="ListParagraph"/>
        <w:numPr>
          <w:ilvl w:val="0"/>
          <w:numId w:val="22"/>
        </w:numPr>
        <w:spacing w:after="0" w:line="240" w:lineRule="auto"/>
        <w:ind w:left="504"/>
        <w:rPr>
          <w:rStyle w:val="Hyperlink"/>
          <w:rFonts w:asciiTheme="majorHAnsi" w:eastAsia="Calibri" w:hAnsiTheme="majorHAnsi" w:cstheme="majorHAnsi"/>
        </w:rPr>
      </w:pPr>
      <w:r w:rsidRPr="001B4284">
        <w:rPr>
          <w:rFonts w:asciiTheme="majorHAnsi" w:eastAsia="Calibri" w:hAnsiTheme="majorHAnsi" w:cstheme="majorHAnsi"/>
          <w:color w:val="000000" w:themeColor="text1"/>
        </w:rPr>
        <w:t xml:space="preserve">Lane, C. (2010, May 5). How Schizophrenia Became a Black Disease: An Interview with Jonathan Metzl. </w:t>
      </w:r>
      <w:r w:rsidRPr="001B4284">
        <w:rPr>
          <w:rFonts w:asciiTheme="majorHAnsi" w:eastAsia="Calibri" w:hAnsiTheme="majorHAnsi" w:cstheme="majorHAnsi"/>
          <w:i/>
          <w:iCs/>
          <w:color w:val="000000" w:themeColor="text1"/>
        </w:rPr>
        <w:t>Psychology Today</w:t>
      </w:r>
      <w:r w:rsidRPr="001B4284">
        <w:rPr>
          <w:rFonts w:asciiTheme="majorHAnsi" w:eastAsia="Calibri" w:hAnsiTheme="majorHAnsi" w:cstheme="majorHAnsi"/>
          <w:color w:val="000000" w:themeColor="text1"/>
        </w:rPr>
        <w:t xml:space="preserve">. </w:t>
      </w:r>
      <w:hyperlink r:id="rId69">
        <w:r w:rsidRPr="001B4284">
          <w:rPr>
            <w:rStyle w:val="Hyperlink"/>
            <w:rFonts w:asciiTheme="majorHAnsi" w:eastAsia="Calibri" w:hAnsiTheme="majorHAnsi" w:cstheme="majorHAnsi"/>
          </w:rPr>
          <w:t>http://www.psychologytoday.com/blog/side-effects/201005/how-schizophrenia-became-black-disease-interview-jonathan-metzl</w:t>
        </w:r>
      </w:hyperlink>
    </w:p>
    <w:p w14:paraId="34DE5865" w14:textId="77777777" w:rsidR="00BC293C" w:rsidRPr="001B4284" w:rsidRDefault="00BC293C" w:rsidP="00110EE7">
      <w:pPr>
        <w:spacing w:before="120" w:after="120" w:line="240" w:lineRule="auto"/>
        <w:ind w:left="144"/>
        <w:rPr>
          <w:rStyle w:val="Hyperlink"/>
          <w:rFonts w:asciiTheme="majorHAnsi" w:eastAsia="Calibri" w:hAnsiTheme="majorHAnsi" w:cstheme="majorHAnsi"/>
          <w:b/>
          <w:bCs/>
          <w:color w:val="auto"/>
          <w:u w:val="none"/>
        </w:rPr>
      </w:pPr>
      <w:r w:rsidRPr="001B4284">
        <w:rPr>
          <w:rStyle w:val="Hyperlink"/>
          <w:rFonts w:asciiTheme="majorHAnsi" w:eastAsia="Calibri" w:hAnsiTheme="majorHAnsi" w:cstheme="majorHAnsi"/>
          <w:b/>
          <w:bCs/>
          <w:color w:val="auto"/>
          <w:u w:val="none"/>
        </w:rPr>
        <w:t>Recommended Podcasts</w:t>
      </w:r>
    </w:p>
    <w:p w14:paraId="50F1F2CE" w14:textId="77777777" w:rsidR="00BC293C" w:rsidRPr="001B4284" w:rsidRDefault="00BC293C" w:rsidP="00096694">
      <w:pPr>
        <w:pStyle w:val="ListParagraph"/>
        <w:numPr>
          <w:ilvl w:val="0"/>
          <w:numId w:val="23"/>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Singer, J. B. (Producer). (2008, November 17). #45 - Schizophrenia and social work: Interview with Shaun Eack, Ph.D. [Episode 45]. Social Work Podcast. Retrieved from</w:t>
      </w:r>
      <w:hyperlink r:id="rId70">
        <w:r w:rsidRPr="001B4284">
          <w:rPr>
            <w:rStyle w:val="Hyperlink"/>
            <w:rFonts w:asciiTheme="majorHAnsi" w:eastAsia="Calibri" w:hAnsiTheme="majorHAnsi" w:cstheme="majorHAnsi"/>
          </w:rPr>
          <w:t xml:space="preserve"> </w:t>
        </w:r>
      </w:hyperlink>
      <w:hyperlink r:id="rId71">
        <w:r w:rsidRPr="001B4284">
          <w:rPr>
            <w:rStyle w:val="Hyperlink"/>
            <w:rFonts w:asciiTheme="majorHAnsi" w:eastAsia="Calibri" w:hAnsiTheme="majorHAnsi" w:cstheme="majorHAnsi"/>
          </w:rPr>
          <w:t>http://www.socialworkpodcast.com/2008/11/schizophrenia-and-social-work-interview.html</w:t>
        </w:r>
      </w:hyperlink>
    </w:p>
    <w:p w14:paraId="7C4DB4A3" w14:textId="77777777" w:rsidR="00BC293C" w:rsidRPr="001B4284" w:rsidRDefault="00BC293C" w:rsidP="00096694">
      <w:pPr>
        <w:pStyle w:val="ListParagraph"/>
        <w:numPr>
          <w:ilvl w:val="0"/>
          <w:numId w:val="23"/>
        </w:numPr>
        <w:spacing w:after="0" w:line="240" w:lineRule="auto"/>
        <w:ind w:left="504"/>
        <w:rPr>
          <w:rStyle w:val="Hyperlink"/>
          <w:rFonts w:asciiTheme="majorHAnsi" w:hAnsiTheme="majorHAnsi" w:cstheme="majorHAnsi"/>
          <w:color w:val="auto"/>
          <w:u w:val="none"/>
        </w:rPr>
      </w:pPr>
      <w:r w:rsidRPr="001B4284">
        <w:rPr>
          <w:rFonts w:asciiTheme="majorHAnsi" w:eastAsia="Calibri" w:hAnsiTheme="majorHAnsi" w:cstheme="majorHAnsi"/>
          <w:color w:val="000000" w:themeColor="text1"/>
        </w:rPr>
        <w:t>Singer, J. B. (Producer). (2015, May 21). #98 - Cognitive enhancement therapy for schizophrenia: Interview with Shaun Eack, Ph.D. [Audio Podcast]. Social Work Podcast. Retrieved from</w:t>
      </w:r>
      <w:hyperlink r:id="rId72">
        <w:r w:rsidRPr="001B4284">
          <w:rPr>
            <w:rStyle w:val="Hyperlink"/>
            <w:rFonts w:asciiTheme="majorHAnsi" w:eastAsia="Calibri" w:hAnsiTheme="majorHAnsi" w:cstheme="majorHAnsi"/>
          </w:rPr>
          <w:t xml:space="preserve"> </w:t>
        </w:r>
      </w:hyperlink>
      <w:hyperlink r:id="rId73">
        <w:r w:rsidRPr="001B4284">
          <w:rPr>
            <w:rStyle w:val="Hyperlink"/>
            <w:rFonts w:asciiTheme="majorHAnsi" w:eastAsia="Calibri" w:hAnsiTheme="majorHAnsi" w:cstheme="majorHAnsi"/>
          </w:rPr>
          <w:t>http://www.socialworkpodcast.com/2015/05/CET.html</w:t>
        </w:r>
      </w:hyperlink>
    </w:p>
    <w:p w14:paraId="67BEE569" w14:textId="77777777" w:rsidR="00CB51E7" w:rsidRPr="00110EE7" w:rsidRDefault="00BC293C" w:rsidP="00110EE7">
      <w:pPr>
        <w:pStyle w:val="Heading1"/>
        <w:spacing w:before="120" w:after="120"/>
        <w:rPr>
          <w:b/>
          <w:bCs/>
          <w:color w:val="000000" w:themeColor="text1"/>
          <w:sz w:val="24"/>
          <w:szCs w:val="24"/>
        </w:rPr>
      </w:pPr>
      <w:r w:rsidRPr="00110EE7">
        <w:rPr>
          <w:b/>
          <w:bCs/>
          <w:color w:val="000000" w:themeColor="text1"/>
          <w:sz w:val="24"/>
          <w:szCs w:val="24"/>
        </w:rPr>
        <w:t>Module 10</w:t>
      </w:r>
    </w:p>
    <w:p w14:paraId="12C0E53C" w14:textId="5B2E06C8" w:rsidR="00056477" w:rsidRPr="00110EE7" w:rsidRDefault="00CB51E7" w:rsidP="00110EE7">
      <w:pPr>
        <w:pStyle w:val="Heading2"/>
        <w:spacing w:before="120" w:after="120"/>
        <w:ind w:left="144"/>
        <w:rPr>
          <w:b/>
          <w:bCs/>
          <w:color w:val="000000" w:themeColor="text1"/>
          <w:sz w:val="22"/>
          <w:szCs w:val="22"/>
        </w:rPr>
      </w:pPr>
      <w:r w:rsidRPr="00110EE7">
        <w:rPr>
          <w:b/>
          <w:bCs/>
          <w:color w:val="000000" w:themeColor="text1"/>
          <w:sz w:val="22"/>
          <w:szCs w:val="22"/>
        </w:rPr>
        <w:t>Bipolar and related disorders. Depressive disorders</w:t>
      </w:r>
    </w:p>
    <w:p w14:paraId="41DB281E" w14:textId="71CEC217" w:rsidR="00110EE7" w:rsidRPr="00110EE7" w:rsidRDefault="00110EE7" w:rsidP="00110EE7">
      <w:pPr>
        <w:spacing w:after="0" w:line="240" w:lineRule="auto"/>
        <w:ind w:left="144"/>
        <w:rPr>
          <w:rFonts w:asciiTheme="majorHAnsi" w:eastAsia="Times New Roman" w:hAnsiTheme="majorHAnsi" w:cstheme="majorHAnsi"/>
        </w:rPr>
      </w:pPr>
      <w:r w:rsidRPr="00110EE7">
        <w:rPr>
          <w:rFonts w:asciiTheme="majorHAnsi" w:eastAsia="Times New Roman" w:hAnsiTheme="majorHAnsi" w:cstheme="majorHAnsi"/>
        </w:rPr>
        <w:t>This module will cover diagnoses from the Bipolar and related disorders and Depressive disorders sections of the DSM-5, examining the criteria for the disorders as well as considering the role of culture in influencing diagnoses.</w:t>
      </w:r>
    </w:p>
    <w:p w14:paraId="23F8ECB6" w14:textId="77777777" w:rsidR="00110EE7" w:rsidRDefault="00110EE7" w:rsidP="00110EE7">
      <w:pPr>
        <w:spacing w:before="120" w:after="120" w:line="240" w:lineRule="auto"/>
        <w:ind w:left="144"/>
        <w:rPr>
          <w:rFonts w:asciiTheme="majorHAnsi" w:eastAsia="Calibri" w:hAnsiTheme="majorHAnsi" w:cstheme="majorHAnsi"/>
          <w:b/>
          <w:bCs/>
        </w:rPr>
      </w:pPr>
      <w:r w:rsidRPr="001B4284">
        <w:rPr>
          <w:rFonts w:asciiTheme="majorHAnsi" w:eastAsia="Calibri" w:hAnsiTheme="majorHAnsi" w:cstheme="majorHAnsi"/>
          <w:b/>
          <w:bCs/>
        </w:rPr>
        <w:t>Learning Objectives</w:t>
      </w:r>
    </w:p>
    <w:p w14:paraId="1F9DBB71" w14:textId="77777777" w:rsidR="00110EE7" w:rsidRPr="00056477" w:rsidRDefault="00110EE7" w:rsidP="00110EE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6AAF541C" w14:textId="77777777" w:rsidR="00110EE7" w:rsidRPr="001B4284" w:rsidRDefault="00110EE7" w:rsidP="001B4284">
      <w:pPr>
        <w:spacing w:before="120" w:after="120" w:line="240" w:lineRule="auto"/>
        <w:rPr>
          <w:rFonts w:asciiTheme="majorHAnsi" w:hAnsiTheme="majorHAnsi" w:cstheme="majorHAnsi"/>
          <w:b/>
          <w:bCs/>
        </w:rPr>
      </w:pPr>
    </w:p>
    <w:p w14:paraId="2DB6FF68" w14:textId="77777777" w:rsidR="00CB51E7" w:rsidRPr="001B4284" w:rsidRDefault="00CB51E7" w:rsidP="00096694">
      <w:pPr>
        <w:pStyle w:val="ListParagraph"/>
        <w:numPr>
          <w:ilvl w:val="0"/>
          <w:numId w:val="25"/>
        </w:numPr>
        <w:spacing w:after="0" w:line="240" w:lineRule="auto"/>
        <w:ind w:left="504"/>
        <w:rPr>
          <w:rFonts w:asciiTheme="majorHAnsi" w:hAnsiTheme="majorHAnsi" w:cstheme="majorHAnsi"/>
        </w:rPr>
      </w:pPr>
      <w:r w:rsidRPr="001B4284">
        <w:rPr>
          <w:rFonts w:asciiTheme="majorHAnsi" w:hAnsiTheme="majorHAnsi" w:cstheme="majorHAnsi"/>
        </w:rPr>
        <w:t>Apply diagnostic criteria for bipolar and related disorders, and depressive disorders, to case material.</w:t>
      </w:r>
    </w:p>
    <w:p w14:paraId="1B43A9CF" w14:textId="77777777" w:rsidR="00CB51E7" w:rsidRPr="001B4284" w:rsidRDefault="00CB51E7" w:rsidP="00096694">
      <w:pPr>
        <w:pStyle w:val="ListParagraph"/>
        <w:numPr>
          <w:ilvl w:val="0"/>
          <w:numId w:val="25"/>
        </w:numPr>
        <w:spacing w:after="0" w:line="240" w:lineRule="auto"/>
        <w:ind w:left="504"/>
        <w:rPr>
          <w:rFonts w:asciiTheme="majorHAnsi" w:hAnsiTheme="majorHAnsi" w:cstheme="majorHAnsi"/>
        </w:rPr>
      </w:pPr>
      <w:r w:rsidRPr="001B4284">
        <w:rPr>
          <w:rFonts w:asciiTheme="majorHAnsi" w:hAnsiTheme="majorHAnsi" w:cstheme="majorHAnsi"/>
        </w:rPr>
        <w:t xml:space="preserve"> Examine the role of culture in influencing diagnosis of bipolar and related disorders, and depressive disorders.</w:t>
      </w:r>
    </w:p>
    <w:p w14:paraId="4A1C0DE4" w14:textId="049D2290" w:rsidR="00CB51E7" w:rsidRPr="001B4284" w:rsidRDefault="00CB51E7" w:rsidP="00096694">
      <w:pPr>
        <w:pStyle w:val="ListParagraph"/>
        <w:numPr>
          <w:ilvl w:val="0"/>
          <w:numId w:val="25"/>
        </w:numPr>
        <w:spacing w:after="0" w:line="240" w:lineRule="auto"/>
        <w:ind w:left="504"/>
        <w:rPr>
          <w:rFonts w:asciiTheme="majorHAnsi" w:hAnsiTheme="majorHAnsi" w:cstheme="majorHAnsi"/>
        </w:rPr>
      </w:pPr>
      <w:r w:rsidRPr="001B4284">
        <w:rPr>
          <w:rFonts w:asciiTheme="majorHAnsi" w:hAnsiTheme="majorHAnsi" w:cstheme="majorHAnsi"/>
        </w:rPr>
        <w:t>Identify medications commonly used to treat bipolar and related disorders, and depressive disorders, including mechanisms of action and side effects.</w:t>
      </w:r>
    </w:p>
    <w:p w14:paraId="02198F23" w14:textId="77777777" w:rsidR="00CB51E7" w:rsidRPr="001B4284"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994E172" w14:textId="77777777" w:rsidR="00CB51E7" w:rsidRPr="001B4284" w:rsidRDefault="00CB51E7" w:rsidP="00096694">
      <w:pPr>
        <w:pStyle w:val="ListParagraph"/>
        <w:numPr>
          <w:ilvl w:val="0"/>
          <w:numId w:val="26"/>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 xml:space="preserve">DSM-5, Bipolar and related disorders; Depressive disorders </w:t>
      </w:r>
    </w:p>
    <w:p w14:paraId="4F99A0F1" w14:textId="77777777" w:rsidR="00CB51E7" w:rsidRPr="001B4284" w:rsidRDefault="00CB51E7" w:rsidP="00096694">
      <w:pPr>
        <w:pStyle w:val="ListParagraph"/>
        <w:numPr>
          <w:ilvl w:val="0"/>
          <w:numId w:val="26"/>
        </w:numPr>
        <w:spacing w:after="0" w:line="240" w:lineRule="auto"/>
        <w:ind w:left="504"/>
        <w:jc w:val="both"/>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9-10</w:t>
      </w:r>
    </w:p>
    <w:p w14:paraId="53C015D1" w14:textId="77777777" w:rsidR="00CB51E7" w:rsidRPr="001B4284" w:rsidRDefault="00CB51E7" w:rsidP="00096694">
      <w:pPr>
        <w:pStyle w:val="ListParagraph"/>
        <w:numPr>
          <w:ilvl w:val="0"/>
          <w:numId w:val="26"/>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Akinhanmi, M. O., Biernacka, J. M., Strakowski, S. M., McElroy, S. L., Balls Berry, J. E., Merikangas, K. R., Assari, S., McInnis, M. G., Schulze, T. G., LeBoyer, M., Tamminga, C., Patten, C., &amp; Frye, M. A. (2018). Racial disparities in bipolar disorder treatment and research: A call to action. </w:t>
      </w:r>
      <w:r w:rsidRPr="001B4284">
        <w:rPr>
          <w:rFonts w:asciiTheme="majorHAnsi" w:eastAsia="Calibri" w:hAnsiTheme="majorHAnsi" w:cstheme="majorHAnsi"/>
          <w:i/>
          <w:iCs/>
          <w:color w:val="000000" w:themeColor="text1"/>
        </w:rPr>
        <w:t>Bipolar Disorders</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20</w:t>
      </w:r>
      <w:r w:rsidRPr="001B4284">
        <w:rPr>
          <w:rFonts w:asciiTheme="majorHAnsi" w:eastAsia="Calibri" w:hAnsiTheme="majorHAnsi" w:cstheme="majorHAnsi"/>
          <w:color w:val="000000" w:themeColor="text1"/>
        </w:rPr>
        <w:t xml:space="preserve">(6), 506–514. </w:t>
      </w:r>
      <w:hyperlink r:id="rId74">
        <w:r w:rsidRPr="001B4284">
          <w:rPr>
            <w:rStyle w:val="Hyperlink"/>
            <w:rFonts w:asciiTheme="majorHAnsi" w:eastAsia="Calibri" w:hAnsiTheme="majorHAnsi" w:cstheme="majorHAnsi"/>
          </w:rPr>
          <w:t>https://doi.org/10.1111/bdi.12638</w:t>
        </w:r>
      </w:hyperlink>
    </w:p>
    <w:p w14:paraId="2AD6CDC5" w14:textId="77777777" w:rsidR="00CB51E7" w:rsidRPr="001B4284" w:rsidRDefault="00CB51E7" w:rsidP="00096694">
      <w:pPr>
        <w:pStyle w:val="ListParagraph"/>
        <w:numPr>
          <w:ilvl w:val="0"/>
          <w:numId w:val="26"/>
        </w:numPr>
        <w:spacing w:after="0" w:line="240" w:lineRule="auto"/>
        <w:ind w:left="504"/>
        <w:rPr>
          <w:rStyle w:val="Hyperlink"/>
          <w:rFonts w:asciiTheme="majorHAnsi" w:eastAsia="Calibri" w:hAnsiTheme="majorHAnsi" w:cstheme="majorHAnsi"/>
        </w:rPr>
      </w:pPr>
      <w:r w:rsidRPr="001B4284">
        <w:rPr>
          <w:rFonts w:asciiTheme="majorHAnsi" w:eastAsia="Calibri" w:hAnsiTheme="majorHAnsi" w:cstheme="majorHAnsi"/>
          <w:color w:val="000000" w:themeColor="text1"/>
          <w:lang w:val="es-MX"/>
        </w:rPr>
        <w:t xml:space="preserve">Langa, M. E., &amp; Gone, J. P. (2019). </w:t>
      </w:r>
      <w:r w:rsidRPr="001B4284">
        <w:rPr>
          <w:rFonts w:asciiTheme="majorHAnsi" w:eastAsia="Calibri" w:hAnsiTheme="majorHAnsi" w:cstheme="majorHAnsi"/>
          <w:color w:val="000000" w:themeColor="text1"/>
        </w:rPr>
        <w:t xml:space="preserve">Cultural Context in DSM Diagnosis: An American Indian Case Illustration of Contradictory Trends. </w:t>
      </w:r>
      <w:r w:rsidRPr="001B4284">
        <w:rPr>
          <w:rFonts w:asciiTheme="majorHAnsi" w:eastAsia="Calibri" w:hAnsiTheme="majorHAnsi" w:cstheme="majorHAnsi"/>
          <w:i/>
          <w:iCs/>
          <w:color w:val="000000" w:themeColor="text1"/>
        </w:rPr>
        <w:t>Transcultural Psychiatry</w:t>
      </w:r>
      <w:r w:rsidRPr="001B4284">
        <w:rPr>
          <w:rFonts w:asciiTheme="majorHAnsi" w:eastAsia="Calibri" w:hAnsiTheme="majorHAnsi" w:cstheme="majorHAnsi"/>
          <w:color w:val="000000" w:themeColor="text1"/>
        </w:rPr>
        <w:t xml:space="preserve">, 1 - 23. </w:t>
      </w:r>
      <w:hyperlink r:id="rId75">
        <w:r w:rsidRPr="001B4284">
          <w:rPr>
            <w:rStyle w:val="Hyperlink"/>
            <w:rFonts w:asciiTheme="majorHAnsi" w:eastAsia="Calibri" w:hAnsiTheme="majorHAnsi" w:cstheme="majorHAnsi"/>
          </w:rPr>
          <w:t>https://doi.org/10.1177/1363461519832473</w:t>
        </w:r>
      </w:hyperlink>
    </w:p>
    <w:p w14:paraId="1F285584" w14:textId="77777777" w:rsidR="00CB51E7" w:rsidRPr="001B4284" w:rsidRDefault="00CB51E7" w:rsidP="00110EE7">
      <w:pPr>
        <w:spacing w:before="120" w:after="120" w:line="240" w:lineRule="auto"/>
        <w:ind w:left="144"/>
        <w:rPr>
          <w:rStyle w:val="Hyperlink"/>
          <w:rFonts w:asciiTheme="majorHAnsi" w:eastAsia="Calibri" w:hAnsiTheme="majorHAnsi" w:cstheme="majorHAnsi"/>
          <w:b/>
          <w:bCs/>
          <w:color w:val="auto"/>
          <w:u w:val="none"/>
        </w:rPr>
      </w:pPr>
      <w:r w:rsidRPr="001B4284">
        <w:rPr>
          <w:rStyle w:val="Hyperlink"/>
          <w:rFonts w:asciiTheme="majorHAnsi" w:eastAsia="Calibri" w:hAnsiTheme="majorHAnsi" w:cstheme="majorHAnsi"/>
          <w:b/>
          <w:bCs/>
          <w:color w:val="auto"/>
          <w:u w:val="none"/>
        </w:rPr>
        <w:t>Recommended Resources</w:t>
      </w:r>
    </w:p>
    <w:p w14:paraId="1FF7F0BC" w14:textId="10FBBB6F" w:rsidR="00CB51E7" w:rsidRPr="001B4284" w:rsidRDefault="00CB51E7" w:rsidP="00096694">
      <w:pPr>
        <w:pStyle w:val="ListParagraph"/>
        <w:numPr>
          <w:ilvl w:val="0"/>
          <w:numId w:val="24"/>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Wheeler, S. (n.d.). Lithium. </w:t>
      </w:r>
      <w:r w:rsidRPr="001B4284">
        <w:rPr>
          <w:rFonts w:asciiTheme="majorHAnsi" w:eastAsia="Calibri" w:hAnsiTheme="majorHAnsi" w:cstheme="majorHAnsi"/>
          <w:i/>
          <w:iCs/>
          <w:color w:val="000000" w:themeColor="text1"/>
        </w:rPr>
        <w:t>Radiolab.</w:t>
      </w:r>
      <w:r w:rsidRPr="001B4284">
        <w:rPr>
          <w:rFonts w:asciiTheme="majorHAnsi" w:eastAsia="Calibri" w:hAnsiTheme="majorHAnsi" w:cstheme="majorHAnsi"/>
          <w:color w:val="000000" w:themeColor="text1"/>
        </w:rPr>
        <w:t xml:space="preserve"> </w:t>
      </w:r>
      <w:hyperlink r:id="rId76">
        <w:r w:rsidRPr="001B4284">
          <w:rPr>
            <w:rStyle w:val="Hyperlink"/>
            <w:rFonts w:asciiTheme="majorHAnsi" w:eastAsia="Calibri" w:hAnsiTheme="majorHAnsi" w:cstheme="majorHAnsi"/>
          </w:rPr>
          <w:t>http://www.radiolab.org/story/lithium/</w:t>
        </w:r>
      </w:hyperlink>
      <w:r w:rsidRPr="001B4284">
        <w:rPr>
          <w:rFonts w:asciiTheme="majorHAnsi" w:eastAsia="Calibri" w:hAnsiTheme="majorHAnsi" w:cstheme="majorHAnsi"/>
          <w:color w:val="000000" w:themeColor="text1"/>
        </w:rPr>
        <w:t xml:space="preserve"> (start 2:55)</w:t>
      </w:r>
    </w:p>
    <w:p w14:paraId="2A520098" w14:textId="59A94FC8" w:rsidR="00CB51E7" w:rsidRPr="00110EE7" w:rsidRDefault="00CB51E7" w:rsidP="00110EE7">
      <w:pPr>
        <w:pStyle w:val="Heading1"/>
        <w:spacing w:before="120" w:after="120" w:line="240" w:lineRule="auto"/>
        <w:rPr>
          <w:b/>
          <w:bCs/>
          <w:color w:val="000000" w:themeColor="text1"/>
          <w:sz w:val="24"/>
          <w:szCs w:val="24"/>
        </w:rPr>
      </w:pPr>
      <w:r w:rsidRPr="00110EE7">
        <w:rPr>
          <w:b/>
          <w:bCs/>
          <w:color w:val="000000" w:themeColor="text1"/>
          <w:sz w:val="24"/>
          <w:szCs w:val="24"/>
        </w:rPr>
        <w:t>Module 11</w:t>
      </w:r>
    </w:p>
    <w:p w14:paraId="4F66893E" w14:textId="26A53F16" w:rsidR="00CB51E7" w:rsidRDefault="00CB51E7" w:rsidP="00110EE7">
      <w:pPr>
        <w:pStyle w:val="Heading2"/>
        <w:spacing w:before="120" w:after="120"/>
        <w:ind w:left="144"/>
        <w:rPr>
          <w:b/>
          <w:bCs/>
          <w:color w:val="000000" w:themeColor="text1"/>
          <w:sz w:val="22"/>
          <w:szCs w:val="22"/>
        </w:rPr>
      </w:pPr>
      <w:r w:rsidRPr="00110EE7">
        <w:rPr>
          <w:b/>
          <w:bCs/>
          <w:color w:val="000000" w:themeColor="text1"/>
          <w:sz w:val="22"/>
          <w:szCs w:val="22"/>
        </w:rPr>
        <w:t>Anxiety disorders. Obsessive-compulsive and related disorders. Trauma and stressor related disorders</w:t>
      </w:r>
    </w:p>
    <w:p w14:paraId="2C71F739" w14:textId="68541F9E" w:rsidR="00110EE7" w:rsidRPr="00536F05" w:rsidRDefault="00536F05" w:rsidP="00536F05">
      <w:pPr>
        <w:spacing w:after="0"/>
        <w:ind w:left="144"/>
        <w:rPr>
          <w:rFonts w:asciiTheme="majorHAnsi" w:hAnsiTheme="majorHAnsi" w:cstheme="majorHAnsi"/>
        </w:rPr>
      </w:pPr>
      <w:r w:rsidRPr="00536F05">
        <w:rPr>
          <w:rFonts w:asciiTheme="majorHAnsi" w:hAnsiTheme="majorHAnsi" w:cstheme="majorHAnsi"/>
        </w:rPr>
        <w:t>This module will cover diagnoses from the Anxiety disorders, Obsessive-compulsive and related disorders, and Trauma- and stressor-related disorders sections of the DSM-5, examining the criteria for the disorders as well as considering the role of culture in influencing diagnoses.</w:t>
      </w:r>
    </w:p>
    <w:p w14:paraId="52D2016F" w14:textId="2811059D" w:rsidR="00CB51E7"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0110EE2" w14:textId="42FAB2AC" w:rsidR="00056477" w:rsidRPr="00110EE7" w:rsidRDefault="00056477" w:rsidP="00110EE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4864E042" w14:textId="77777777" w:rsidR="00CB51E7" w:rsidRPr="001B4284" w:rsidRDefault="00CB51E7" w:rsidP="00096694">
      <w:pPr>
        <w:pStyle w:val="NormalWeb"/>
        <w:numPr>
          <w:ilvl w:val="0"/>
          <w:numId w:val="27"/>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anxiety disorders, obsessive-compulsive and related disorders, and trauma and stressor related disorders to case material.</w:t>
      </w:r>
    </w:p>
    <w:p w14:paraId="60FC2C80" w14:textId="77777777" w:rsidR="00CB51E7" w:rsidRPr="001B4284" w:rsidRDefault="00CB51E7" w:rsidP="00096694">
      <w:pPr>
        <w:pStyle w:val="NormalWeb"/>
        <w:numPr>
          <w:ilvl w:val="0"/>
          <w:numId w:val="27"/>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anxiety disorders, obsessive-compulsive and related disorders, and trauma and stressor related disorders.</w:t>
      </w:r>
    </w:p>
    <w:p w14:paraId="1CCB9020" w14:textId="45441340" w:rsidR="00CB51E7" w:rsidRPr="001B4284" w:rsidRDefault="00CB51E7" w:rsidP="00096694">
      <w:pPr>
        <w:pStyle w:val="ListParagraph"/>
        <w:numPr>
          <w:ilvl w:val="0"/>
          <w:numId w:val="27"/>
        </w:numPr>
        <w:spacing w:after="0" w:line="240" w:lineRule="auto"/>
        <w:ind w:left="504"/>
        <w:rPr>
          <w:rFonts w:asciiTheme="majorHAnsi" w:hAnsiTheme="majorHAnsi" w:cstheme="majorHAnsi"/>
          <w:b/>
          <w:bCs/>
        </w:rPr>
      </w:pPr>
      <w:r w:rsidRPr="001B4284">
        <w:rPr>
          <w:rFonts w:asciiTheme="majorHAnsi" w:hAnsiTheme="majorHAnsi" w:cstheme="majorHAnsi"/>
        </w:rPr>
        <w:t>Identify medications commonly used to treat anxiety, obsessive-compulsive and trauma and stressor-related disorders, including mechanisms of action and side effects.</w:t>
      </w:r>
    </w:p>
    <w:p w14:paraId="3A812D00" w14:textId="4BE693C7" w:rsidR="00CB51E7" w:rsidRPr="001B4284"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4D3521D6" w14:textId="77777777" w:rsidR="00CB51E7" w:rsidRPr="001B4284" w:rsidRDefault="00CB51E7" w:rsidP="00096694">
      <w:pPr>
        <w:pStyle w:val="ListParagraph"/>
        <w:numPr>
          <w:ilvl w:val="0"/>
          <w:numId w:val="24"/>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w:t>
      </w:r>
    </w:p>
    <w:p w14:paraId="0A5FE6C9" w14:textId="77777777" w:rsidR="00CB51E7" w:rsidRPr="001B4284" w:rsidRDefault="00CB51E7" w:rsidP="00096694">
      <w:pPr>
        <w:pStyle w:val="ListParagraph"/>
        <w:numPr>
          <w:ilvl w:val="0"/>
          <w:numId w:val="28"/>
        </w:numPr>
        <w:spacing w:after="0" w:line="240" w:lineRule="auto"/>
        <w:ind w:left="792"/>
        <w:rPr>
          <w:rFonts w:asciiTheme="majorHAnsi" w:eastAsiaTheme="minorEastAsia" w:hAnsiTheme="majorHAnsi" w:cstheme="majorHAnsi"/>
        </w:rPr>
      </w:pPr>
      <w:r w:rsidRPr="001B4284">
        <w:rPr>
          <w:rFonts w:asciiTheme="majorHAnsi" w:eastAsia="Calibri" w:hAnsiTheme="majorHAnsi" w:cstheme="majorHAnsi"/>
        </w:rPr>
        <w:t>Anxiety disorders</w:t>
      </w:r>
    </w:p>
    <w:p w14:paraId="1C2570E8" w14:textId="77777777" w:rsidR="00CB51E7" w:rsidRPr="001B4284" w:rsidRDefault="00CB51E7" w:rsidP="00096694">
      <w:pPr>
        <w:pStyle w:val="ListParagraph"/>
        <w:numPr>
          <w:ilvl w:val="0"/>
          <w:numId w:val="28"/>
        </w:numPr>
        <w:spacing w:after="0" w:line="240" w:lineRule="auto"/>
        <w:ind w:left="792"/>
        <w:rPr>
          <w:rFonts w:asciiTheme="majorHAnsi" w:eastAsiaTheme="minorEastAsia" w:hAnsiTheme="majorHAnsi" w:cstheme="majorHAnsi"/>
        </w:rPr>
      </w:pPr>
      <w:r w:rsidRPr="001B4284">
        <w:rPr>
          <w:rFonts w:asciiTheme="majorHAnsi" w:eastAsia="Calibri" w:hAnsiTheme="majorHAnsi" w:cstheme="majorHAnsi"/>
        </w:rPr>
        <w:t>Obsessive-compulsive and related disorders</w:t>
      </w:r>
    </w:p>
    <w:p w14:paraId="63693D7C" w14:textId="77777777" w:rsidR="00CB51E7" w:rsidRPr="001B4284" w:rsidRDefault="00CB51E7" w:rsidP="00096694">
      <w:pPr>
        <w:pStyle w:val="ListParagraph"/>
        <w:numPr>
          <w:ilvl w:val="0"/>
          <w:numId w:val="28"/>
        </w:numPr>
        <w:spacing w:after="0" w:line="240" w:lineRule="auto"/>
        <w:ind w:left="792"/>
        <w:rPr>
          <w:rFonts w:asciiTheme="majorHAnsi" w:hAnsiTheme="majorHAnsi" w:cstheme="majorHAnsi"/>
        </w:rPr>
      </w:pPr>
      <w:r w:rsidRPr="001B4284">
        <w:rPr>
          <w:rFonts w:asciiTheme="majorHAnsi" w:eastAsia="Calibri" w:hAnsiTheme="majorHAnsi" w:cstheme="majorHAnsi"/>
        </w:rPr>
        <w:t>Trauma- and stressor-related disorders</w:t>
      </w:r>
    </w:p>
    <w:p w14:paraId="5768A9A5" w14:textId="77777777" w:rsidR="00CB51E7" w:rsidRPr="001B4284" w:rsidRDefault="00CB51E7" w:rsidP="00096694">
      <w:pPr>
        <w:pStyle w:val="ListParagraph"/>
        <w:numPr>
          <w:ilvl w:val="0"/>
          <w:numId w:val="24"/>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Soto, J. A., Dawson-Andoh, N. A., &amp; BeLue, R. (2011). The relationship between perceived discrimination and Generalized Anxiety Disorder among African Americans, Afro Caribbeans, and non-Hispanic Whites. </w:t>
      </w:r>
      <w:r w:rsidRPr="001B4284">
        <w:rPr>
          <w:rFonts w:asciiTheme="majorHAnsi" w:eastAsia="Calibri" w:hAnsiTheme="majorHAnsi" w:cstheme="majorHAnsi"/>
          <w:i/>
          <w:iCs/>
          <w:color w:val="000000" w:themeColor="text1"/>
        </w:rPr>
        <w:t>Journal of Anxiety Disorders</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25</w:t>
      </w:r>
      <w:r w:rsidRPr="001B4284">
        <w:rPr>
          <w:rFonts w:asciiTheme="majorHAnsi" w:eastAsia="Calibri" w:hAnsiTheme="majorHAnsi" w:cstheme="majorHAnsi"/>
          <w:color w:val="000000" w:themeColor="text1"/>
        </w:rPr>
        <w:t xml:space="preserve">(2), 258–265. </w:t>
      </w:r>
      <w:hyperlink r:id="rId77">
        <w:r w:rsidRPr="001B4284">
          <w:rPr>
            <w:rStyle w:val="Hyperlink"/>
            <w:rFonts w:asciiTheme="majorHAnsi" w:eastAsia="Calibri" w:hAnsiTheme="majorHAnsi" w:cstheme="majorHAnsi"/>
          </w:rPr>
          <w:t>https://doi.org/10.1016/j.janxdis.2010.09.011</w:t>
        </w:r>
      </w:hyperlink>
    </w:p>
    <w:p w14:paraId="6540F27C" w14:textId="77777777" w:rsidR="00CB51E7" w:rsidRPr="001B4284" w:rsidRDefault="00CB51E7" w:rsidP="00096694">
      <w:pPr>
        <w:pStyle w:val="ListParagraph"/>
        <w:numPr>
          <w:ilvl w:val="0"/>
          <w:numId w:val="24"/>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Hartmann, W. E., Wendt, D. C., Burrage, R. L., Pomerville, A., &amp; Gone, J. P. (2019). American Indian historical trauma: Anticolonial prescriptions for healing, resilience, and survivance. </w:t>
      </w:r>
      <w:r w:rsidRPr="001B4284">
        <w:rPr>
          <w:rFonts w:asciiTheme="majorHAnsi" w:eastAsia="Calibri" w:hAnsiTheme="majorHAnsi" w:cstheme="majorHAnsi"/>
          <w:i/>
          <w:iCs/>
          <w:color w:val="000000" w:themeColor="text1"/>
        </w:rPr>
        <w:t>American Psychologist</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74</w:t>
      </w:r>
      <w:r w:rsidRPr="001B4284">
        <w:rPr>
          <w:rFonts w:asciiTheme="majorHAnsi" w:eastAsia="Calibri" w:hAnsiTheme="majorHAnsi" w:cstheme="majorHAnsi"/>
          <w:color w:val="000000" w:themeColor="text1"/>
        </w:rPr>
        <w:t xml:space="preserve">(1), 6. </w:t>
      </w:r>
      <w:hyperlink r:id="rId78">
        <w:r w:rsidRPr="001B4284">
          <w:rPr>
            <w:rStyle w:val="Hyperlink"/>
            <w:rFonts w:asciiTheme="majorHAnsi" w:eastAsia="Calibri" w:hAnsiTheme="majorHAnsi" w:cstheme="majorHAnsi"/>
          </w:rPr>
          <w:t>https://doi.org/10.1037/amp0000326</w:t>
        </w:r>
      </w:hyperlink>
    </w:p>
    <w:p w14:paraId="67C00964" w14:textId="07A36D32" w:rsidR="00CB51E7" w:rsidRPr="001B4284" w:rsidRDefault="00CB51E7" w:rsidP="00096694">
      <w:pPr>
        <w:pStyle w:val="ListParagraph"/>
        <w:numPr>
          <w:ilvl w:val="0"/>
          <w:numId w:val="24"/>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Malcolm, L (2015, June 28). Obsessions and compulsions. </w:t>
      </w:r>
      <w:r w:rsidRPr="001B4284">
        <w:rPr>
          <w:rFonts w:asciiTheme="majorHAnsi" w:eastAsia="Calibri" w:hAnsiTheme="majorHAnsi" w:cstheme="majorHAnsi"/>
          <w:i/>
          <w:iCs/>
          <w:color w:val="000000" w:themeColor="text1"/>
        </w:rPr>
        <w:t>All In The Mind.</w:t>
      </w:r>
      <w:r w:rsidRPr="001B4284">
        <w:rPr>
          <w:rFonts w:asciiTheme="majorHAnsi" w:eastAsia="Calibri" w:hAnsiTheme="majorHAnsi" w:cstheme="majorHAnsi"/>
        </w:rPr>
        <w:t xml:space="preserve"> </w:t>
      </w:r>
      <w:hyperlink r:id="rId79">
        <w:r w:rsidRPr="001B4284">
          <w:rPr>
            <w:rStyle w:val="Hyperlink"/>
            <w:rFonts w:asciiTheme="majorHAnsi" w:eastAsia="Calibri" w:hAnsiTheme="majorHAnsi" w:cstheme="majorHAnsi"/>
          </w:rPr>
          <w:t>http://www.abc.net.au/radionational/programs/allinthemind/obsessive-compulsive-disorder/6568028</w:t>
        </w:r>
      </w:hyperlink>
    </w:p>
    <w:p w14:paraId="7CE61626" w14:textId="6D5BD28B" w:rsidR="00CB51E7" w:rsidRPr="001B4284" w:rsidRDefault="00CB51E7" w:rsidP="00110EE7">
      <w:pPr>
        <w:spacing w:before="120" w:after="120" w:line="240" w:lineRule="auto"/>
        <w:ind w:left="144"/>
        <w:rPr>
          <w:rFonts w:asciiTheme="majorHAnsi" w:hAnsiTheme="majorHAnsi" w:cstheme="majorHAnsi"/>
          <w:b/>
          <w:bCs/>
        </w:rPr>
      </w:pPr>
      <w:r w:rsidRPr="001B4284">
        <w:rPr>
          <w:rFonts w:asciiTheme="majorHAnsi" w:hAnsiTheme="majorHAnsi" w:cstheme="majorHAnsi"/>
          <w:b/>
          <w:bCs/>
        </w:rPr>
        <w:lastRenderedPageBreak/>
        <w:t>Recommended Resources</w:t>
      </w:r>
    </w:p>
    <w:p w14:paraId="2E9B0932" w14:textId="77777777" w:rsidR="00CB51E7" w:rsidRPr="001B4284" w:rsidRDefault="00CB51E7" w:rsidP="00096694">
      <w:pPr>
        <w:pStyle w:val="ListParagraph"/>
        <w:numPr>
          <w:ilvl w:val="0"/>
          <w:numId w:val="29"/>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 xml:space="preserve">Harding, S. (2011). War and its effects.  </w:t>
      </w:r>
      <w:r w:rsidRPr="001B4284">
        <w:rPr>
          <w:rFonts w:asciiTheme="majorHAnsi" w:eastAsia="Calibri" w:hAnsiTheme="majorHAnsi" w:cstheme="majorHAnsi"/>
          <w:i/>
          <w:iCs/>
          <w:color w:val="000000" w:themeColor="text1"/>
        </w:rPr>
        <w:t xml:space="preserve">In N. Heller &amp; A. Gitterman (Eds.) Mental Health and Social Problems. </w:t>
      </w:r>
      <w:r w:rsidRPr="001B4284">
        <w:rPr>
          <w:rFonts w:asciiTheme="majorHAnsi" w:eastAsia="Calibri" w:hAnsiTheme="majorHAnsi" w:cstheme="majorHAnsi"/>
          <w:color w:val="000000" w:themeColor="text1"/>
        </w:rPr>
        <w:t xml:space="preserve"> 174-201. NY:  Routledge. </w:t>
      </w:r>
    </w:p>
    <w:p w14:paraId="63033BE9" w14:textId="495496B3" w:rsidR="00CB51E7" w:rsidRPr="001B4284" w:rsidRDefault="00CB51E7" w:rsidP="00096694">
      <w:pPr>
        <w:pStyle w:val="ListParagraph"/>
        <w:numPr>
          <w:ilvl w:val="0"/>
          <w:numId w:val="29"/>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Kelly, B.L., &amp; Gates, T.G. (2010). Using the strengths perspective in the social work interview with young adults who have experienced childhood sexual abuse. </w:t>
      </w:r>
      <w:r w:rsidRPr="001B4284">
        <w:rPr>
          <w:rFonts w:asciiTheme="majorHAnsi" w:eastAsia="Calibri" w:hAnsiTheme="majorHAnsi" w:cstheme="majorHAnsi"/>
          <w:i/>
          <w:iCs/>
          <w:color w:val="000000" w:themeColor="text1"/>
        </w:rPr>
        <w:t>Social Work in Mental Health, 8</w:t>
      </w:r>
      <w:r w:rsidRPr="001B4284">
        <w:rPr>
          <w:rFonts w:asciiTheme="majorHAnsi" w:eastAsia="Calibri" w:hAnsiTheme="majorHAnsi" w:cstheme="majorHAnsi"/>
          <w:color w:val="000000" w:themeColor="text1"/>
        </w:rPr>
        <w:t xml:space="preserve">, 421-437. </w:t>
      </w:r>
      <w:hyperlink r:id="rId80">
        <w:r w:rsidRPr="001B4284">
          <w:rPr>
            <w:rStyle w:val="Hyperlink"/>
            <w:rFonts w:asciiTheme="majorHAnsi" w:eastAsia="Calibri" w:hAnsiTheme="majorHAnsi" w:cstheme="majorHAnsi"/>
          </w:rPr>
          <w:t>https://doi.org/10.1080/15332981003744438</w:t>
        </w:r>
      </w:hyperlink>
    </w:p>
    <w:p w14:paraId="15DC34AF" w14:textId="5469C71F" w:rsidR="00CB51E7" w:rsidRPr="00536F05" w:rsidRDefault="00CB51E7" w:rsidP="00536F05">
      <w:pPr>
        <w:pStyle w:val="Heading1"/>
        <w:spacing w:before="120" w:after="120"/>
        <w:rPr>
          <w:b/>
          <w:bCs/>
          <w:color w:val="000000" w:themeColor="text1"/>
          <w:sz w:val="24"/>
          <w:szCs w:val="24"/>
        </w:rPr>
      </w:pPr>
      <w:r w:rsidRPr="00536F05">
        <w:rPr>
          <w:b/>
          <w:bCs/>
          <w:color w:val="000000" w:themeColor="text1"/>
          <w:sz w:val="24"/>
          <w:szCs w:val="24"/>
        </w:rPr>
        <w:t>Module 12</w:t>
      </w:r>
    </w:p>
    <w:p w14:paraId="7908DAA8" w14:textId="3F3B0C2B" w:rsidR="00CB51E7" w:rsidRDefault="00CB51E7" w:rsidP="00536F05">
      <w:pPr>
        <w:pStyle w:val="Heading2"/>
        <w:spacing w:before="120" w:after="120"/>
        <w:ind w:left="144"/>
        <w:rPr>
          <w:b/>
          <w:bCs/>
          <w:color w:val="000000" w:themeColor="text1"/>
          <w:sz w:val="22"/>
          <w:szCs w:val="22"/>
        </w:rPr>
      </w:pPr>
      <w:r w:rsidRPr="00536F05">
        <w:rPr>
          <w:b/>
          <w:bCs/>
          <w:color w:val="000000" w:themeColor="text1"/>
          <w:sz w:val="22"/>
          <w:szCs w:val="22"/>
        </w:rPr>
        <w:t>Substance-related and addictive disorders. Substance use assessment</w:t>
      </w:r>
    </w:p>
    <w:p w14:paraId="574EA942" w14:textId="00BA4122" w:rsidR="00536F05" w:rsidRPr="00536F05" w:rsidRDefault="00536F05" w:rsidP="00536F05">
      <w:pPr>
        <w:spacing w:after="0" w:line="240" w:lineRule="auto"/>
        <w:ind w:left="144"/>
        <w:rPr>
          <w:rFonts w:asciiTheme="majorHAnsi" w:hAnsiTheme="majorHAnsi" w:cstheme="majorHAnsi"/>
        </w:rPr>
      </w:pPr>
      <w:r w:rsidRPr="00536F05">
        <w:rPr>
          <w:rFonts w:asciiTheme="majorHAnsi" w:hAnsiTheme="majorHAnsi" w:cstheme="majorHAnsi"/>
        </w:rPr>
        <w:t>This module will cover diagnoses from the substance use disorders section of the DSM-5, examining the criteria for the disorders as well as considering the role of culture in influencing diagnoses. This week's content is also intended to introduce students to the process of assessing clients, including major content areas to be covered, risk assessment, and assessment of client strengths. A portion of the content will be dedicated to learning about substance use assessment, as this is an area of risk social workers encounter in all facets of practice. Specifically, this learning module will introduce students to the purpose and application of using assessments in clinical and non-clinical settings. This substance abuse content is the first module of a two-part course of the American Society of Addiction Medicine (ASAM) dimensions. </w:t>
      </w:r>
    </w:p>
    <w:p w14:paraId="0890D18C" w14:textId="30D3EACF" w:rsidR="00096694" w:rsidRDefault="00096694"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4CE3E648" w14:textId="4501FDC9" w:rsidR="00056477" w:rsidRPr="00536F05" w:rsidRDefault="00056477" w:rsidP="00536F0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035F6AAF"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Apply diagnostic criteria for substance use disorders to case material.</w:t>
      </w:r>
    </w:p>
    <w:p w14:paraId="7E8C80E1"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substance use disorders.</w:t>
      </w:r>
    </w:p>
    <w:p w14:paraId="6F39389D"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Identify medications commonly used to treat substance disorders, including mechanisms of action and side effects.</w:t>
      </w:r>
    </w:p>
    <w:p w14:paraId="013DC910"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and discuss the stages of the Screening, Brief Intervention, and Referral to Treatment (SBIRT) model</w:t>
      </w:r>
    </w:p>
    <w:p w14:paraId="3A571F30"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Review the importance of substance use disorder interventions including stages of change, as well as the importance and value of universal screening across various settings (e.g. hospitals, schools).</w:t>
      </w:r>
    </w:p>
    <w:p w14:paraId="3B544D01"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Discuss the pre-screening and screening stages with an emphasis on the AUDIT tool to assess for harmful alcohol use among adult client populations</w:t>
      </w:r>
    </w:p>
    <w:p w14:paraId="57A328F7" w14:textId="77777777"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Explore the role of motivational interviewing skills and techniques for use during the brief intervention and engaging in a brief negotiated interview</w:t>
      </w:r>
    </w:p>
    <w:p w14:paraId="49DECCB0" w14:textId="73AD3A51" w:rsidR="00CB51E7" w:rsidRPr="001B4284" w:rsidRDefault="00CB51E7" w:rsidP="00096694">
      <w:pPr>
        <w:pStyle w:val="NormalWeb"/>
        <w:numPr>
          <w:ilvl w:val="0"/>
          <w:numId w:val="30"/>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Discuss the important role of reinforcing current behaviors or moving to a referral to treatment based on the results of the brief intervention.</w:t>
      </w:r>
    </w:p>
    <w:p w14:paraId="1A065A2D" w14:textId="6FA12443" w:rsidR="00CB51E7" w:rsidRPr="001B4284" w:rsidRDefault="00CB51E7"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5360F6EB" w14:textId="77777777" w:rsidR="00CB51E7" w:rsidRPr="00096694" w:rsidRDefault="00CB51E7" w:rsidP="00536F05">
      <w:pPr>
        <w:pStyle w:val="ListParagraph"/>
        <w:numPr>
          <w:ilvl w:val="0"/>
          <w:numId w:val="38"/>
        </w:numPr>
        <w:spacing w:after="0" w:line="240" w:lineRule="auto"/>
        <w:ind w:left="504"/>
        <w:rPr>
          <w:rFonts w:asciiTheme="majorHAnsi" w:eastAsia="Calibri" w:hAnsiTheme="majorHAnsi" w:cstheme="majorHAnsi"/>
          <w:color w:val="000000" w:themeColor="text1"/>
        </w:rPr>
      </w:pPr>
      <w:r w:rsidRPr="00096694">
        <w:rPr>
          <w:rFonts w:asciiTheme="majorHAnsi" w:eastAsia="Calibri" w:hAnsiTheme="majorHAnsi" w:cstheme="majorHAnsi"/>
          <w:color w:val="000000" w:themeColor="text1"/>
        </w:rPr>
        <w:t>DSM-5: Substance-related and addictive disorders</w:t>
      </w:r>
    </w:p>
    <w:p w14:paraId="49ED86F6" w14:textId="77777777" w:rsidR="00CB51E7" w:rsidRPr="001B4284" w:rsidRDefault="00CB51E7" w:rsidP="00536F05">
      <w:pPr>
        <w:pStyle w:val="ListParagraph"/>
        <w:numPr>
          <w:ilvl w:val="0"/>
          <w:numId w:val="38"/>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Blume, A. W. (2020). An Indigenous American Conceptualization of Substance Abuse and Its Treatment. </w:t>
      </w:r>
      <w:r w:rsidRPr="001B4284">
        <w:rPr>
          <w:rFonts w:asciiTheme="majorHAnsi" w:eastAsia="Calibri" w:hAnsiTheme="majorHAnsi" w:cstheme="majorHAnsi"/>
          <w:i/>
          <w:iCs/>
          <w:color w:val="000000" w:themeColor="text1"/>
        </w:rPr>
        <w:t>Alcoholism Treatment Quarterly</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0</w:t>
      </w:r>
      <w:r w:rsidRPr="001B4284">
        <w:rPr>
          <w:rFonts w:asciiTheme="majorHAnsi" w:eastAsia="Calibri" w:hAnsiTheme="majorHAnsi" w:cstheme="majorHAnsi"/>
          <w:color w:val="000000" w:themeColor="text1"/>
        </w:rPr>
        <w:t xml:space="preserve">(0), 1–19. </w:t>
      </w:r>
      <w:hyperlink r:id="rId81">
        <w:r w:rsidRPr="001B4284">
          <w:rPr>
            <w:rStyle w:val="Hyperlink"/>
            <w:rFonts w:asciiTheme="majorHAnsi" w:eastAsia="Calibri" w:hAnsiTheme="majorHAnsi" w:cstheme="majorHAnsi"/>
          </w:rPr>
          <w:t>https://doi.org/10.1080/07347324.2020.1741330</w:t>
        </w:r>
      </w:hyperlink>
    </w:p>
    <w:p w14:paraId="385F734B" w14:textId="77777777" w:rsidR="00CB51E7" w:rsidRPr="001B4284" w:rsidRDefault="00CB51E7" w:rsidP="00536F05">
      <w:pPr>
        <w:pStyle w:val="ListParagraph"/>
        <w:numPr>
          <w:ilvl w:val="0"/>
          <w:numId w:val="38"/>
        </w:numPr>
        <w:spacing w:after="0" w:line="240" w:lineRule="auto"/>
        <w:ind w:left="504"/>
        <w:rPr>
          <w:rFonts w:asciiTheme="majorHAnsi" w:eastAsiaTheme="minorEastAsia" w:hAnsiTheme="majorHAnsi" w:cstheme="majorHAnsi"/>
        </w:rPr>
      </w:pPr>
      <w:r w:rsidRPr="001B4284">
        <w:rPr>
          <w:rFonts w:asciiTheme="majorHAnsi" w:eastAsiaTheme="minorEastAsia" w:hAnsiTheme="majorHAnsi" w:cstheme="majorHAnsi"/>
        </w:rPr>
        <w:t xml:space="preserve">Hersen, M. (2004).  Substance Abuse. </w:t>
      </w:r>
      <w:r w:rsidRPr="001B4284">
        <w:rPr>
          <w:rFonts w:asciiTheme="majorHAnsi" w:eastAsiaTheme="minorEastAsia" w:hAnsiTheme="majorHAnsi" w:cstheme="majorHAnsi"/>
          <w:i/>
          <w:iCs/>
        </w:rPr>
        <w:t>Psychological Assessment in Clinical Practice: A Pragmatic Guide</w:t>
      </w:r>
      <w:r w:rsidRPr="001B4284">
        <w:rPr>
          <w:rFonts w:asciiTheme="majorHAnsi" w:eastAsiaTheme="minorEastAsia" w:hAnsiTheme="majorHAnsi" w:cstheme="majorHAnsi"/>
        </w:rPr>
        <w:t xml:space="preserve">. Taylor &amp; Francis Group. </w:t>
      </w:r>
      <w:hyperlink r:id="rId82">
        <w:r w:rsidRPr="001B4284">
          <w:rPr>
            <w:rStyle w:val="Hyperlink"/>
            <w:rFonts w:asciiTheme="majorHAnsi" w:eastAsiaTheme="minorEastAsia" w:hAnsiTheme="majorHAnsi" w:cstheme="majorHAnsi"/>
          </w:rPr>
          <w:t>http://ebookcentral.proquest.com/lib/luc/detail.action?docID=240118</w:t>
        </w:r>
      </w:hyperlink>
      <w:r w:rsidRPr="001B4284">
        <w:rPr>
          <w:rFonts w:asciiTheme="majorHAnsi" w:eastAsiaTheme="minorEastAsia" w:hAnsiTheme="majorHAnsi" w:cstheme="majorHAnsi"/>
        </w:rPr>
        <w:t xml:space="preserve"> </w:t>
      </w:r>
    </w:p>
    <w:p w14:paraId="40D6DB9D" w14:textId="77777777" w:rsidR="00CB51E7" w:rsidRPr="001B4284" w:rsidRDefault="00CB51E7" w:rsidP="00536F05">
      <w:pPr>
        <w:pStyle w:val="ListParagraph"/>
        <w:numPr>
          <w:ilvl w:val="0"/>
          <w:numId w:val="38"/>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Kosanke, N., Magura, S., Staines, G., Foote, J., &amp; DeLuca, A. (2002). </w:t>
      </w:r>
      <w:hyperlink r:id="rId83">
        <w:r w:rsidRPr="001B4284">
          <w:rPr>
            <w:rStyle w:val="Hyperlink"/>
            <w:rFonts w:asciiTheme="majorHAnsi" w:eastAsiaTheme="minorEastAsia" w:hAnsiTheme="majorHAnsi" w:cstheme="majorHAnsi"/>
          </w:rPr>
          <w:t>Feasibility of Matching Alcohol Patients to ASAM Levels of Care</w:t>
        </w:r>
      </w:hyperlink>
      <w:r w:rsidRPr="001B4284">
        <w:rPr>
          <w:rFonts w:asciiTheme="majorHAnsi" w:eastAsiaTheme="minorEastAsia" w:hAnsiTheme="majorHAnsi" w:cstheme="majorHAnsi"/>
          <w:color w:val="000000" w:themeColor="text1"/>
        </w:rPr>
        <w:t xml:space="preserve">. </w:t>
      </w:r>
      <w:r w:rsidRPr="001B4284">
        <w:rPr>
          <w:rFonts w:asciiTheme="majorHAnsi" w:eastAsiaTheme="minorEastAsia" w:hAnsiTheme="majorHAnsi" w:cstheme="majorHAnsi"/>
          <w:i/>
          <w:iCs/>
          <w:color w:val="000000" w:themeColor="text1"/>
        </w:rPr>
        <w:t>American Journal on Addictions</w:t>
      </w:r>
      <w:r w:rsidRPr="001B4284">
        <w:rPr>
          <w:rFonts w:asciiTheme="majorHAnsi" w:eastAsiaTheme="minorEastAsia" w:hAnsiTheme="majorHAnsi" w:cstheme="majorHAnsi"/>
          <w:color w:val="000000" w:themeColor="text1"/>
        </w:rPr>
        <w:t>, 11(2), 124-134.</w:t>
      </w:r>
    </w:p>
    <w:p w14:paraId="13F905D2" w14:textId="0DB3E7EF" w:rsidR="00CB51E7" w:rsidRPr="001B4284" w:rsidRDefault="00CB51E7" w:rsidP="00536F05">
      <w:pPr>
        <w:pStyle w:val="ListParagraph"/>
        <w:numPr>
          <w:ilvl w:val="0"/>
          <w:numId w:val="38"/>
        </w:numPr>
        <w:spacing w:after="0" w:line="240" w:lineRule="auto"/>
        <w:ind w:left="504"/>
        <w:rPr>
          <w:rFonts w:asciiTheme="majorHAnsi" w:hAnsiTheme="majorHAnsi" w:cstheme="majorHAnsi"/>
          <w:b/>
          <w:bCs/>
        </w:rPr>
      </w:pPr>
      <w:r w:rsidRPr="001B4284">
        <w:rPr>
          <w:rFonts w:asciiTheme="majorHAnsi" w:hAnsiTheme="majorHAnsi" w:cstheme="majorHAnsi"/>
          <w:color w:val="000000"/>
        </w:rPr>
        <w:t xml:space="preserve">Polcin, D.L. (2016). </w:t>
      </w:r>
      <w:hyperlink r:id="rId84" w:tgtFrame="_blank" w:history="1">
        <w:r w:rsidRPr="001B4284">
          <w:rPr>
            <w:rStyle w:val="Hyperlink"/>
            <w:rFonts w:asciiTheme="majorHAnsi" w:hAnsiTheme="majorHAnsi" w:cstheme="majorHAnsi"/>
          </w:rPr>
          <w:t>Co-occurring substance abuse and mental health problems among homeless persons</w:t>
        </w:r>
      </w:hyperlink>
      <w:r w:rsidRPr="001B4284">
        <w:rPr>
          <w:rFonts w:asciiTheme="majorHAnsi" w:hAnsiTheme="majorHAnsi" w:cstheme="majorHAnsi"/>
          <w:color w:val="000000"/>
        </w:rPr>
        <w:t xml:space="preserve">: Suggestions for research and practice. </w:t>
      </w:r>
      <w:r w:rsidRPr="001B4284">
        <w:rPr>
          <w:rStyle w:val="Emphasis"/>
          <w:rFonts w:asciiTheme="majorHAnsi" w:hAnsiTheme="majorHAnsi" w:cstheme="majorHAnsi"/>
          <w:color w:val="000000"/>
        </w:rPr>
        <w:t>Journal of Social Distress and the Homeless, 25</w:t>
      </w:r>
      <w:r w:rsidRPr="001B4284">
        <w:rPr>
          <w:rFonts w:asciiTheme="majorHAnsi" w:hAnsiTheme="majorHAnsi" w:cstheme="majorHAnsi"/>
          <w:color w:val="000000"/>
        </w:rPr>
        <w:t xml:space="preserve">(1), 1-10. </w:t>
      </w:r>
      <w:hyperlink r:id="rId85" w:history="1">
        <w:r w:rsidRPr="001B4284">
          <w:rPr>
            <w:rStyle w:val="Hyperlink"/>
            <w:rFonts w:asciiTheme="majorHAnsi" w:hAnsiTheme="majorHAnsi" w:cstheme="majorHAnsi"/>
          </w:rPr>
          <w:t>https://doi.org/10.1179/1573658XY00000000004</w:t>
        </w:r>
      </w:hyperlink>
    </w:p>
    <w:p w14:paraId="11ABE750" w14:textId="7C471726" w:rsidR="00CB51E7" w:rsidRPr="001B4284" w:rsidRDefault="00CB51E7"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Recommended Resources</w:t>
      </w:r>
    </w:p>
    <w:p w14:paraId="6CC2BD7E" w14:textId="77777777" w:rsidR="00CB51E7" w:rsidRPr="001B4284" w:rsidRDefault="00CB51E7" w:rsidP="00096694">
      <w:pPr>
        <w:pStyle w:val="ListParagraph"/>
        <w:numPr>
          <w:ilvl w:val="0"/>
          <w:numId w:val="32"/>
        </w:numPr>
        <w:spacing w:after="0" w:line="240" w:lineRule="auto"/>
        <w:ind w:left="504"/>
        <w:rPr>
          <w:rFonts w:asciiTheme="majorHAnsi" w:eastAsiaTheme="minorEastAsia" w:hAnsiTheme="majorHAnsi" w:cstheme="majorHAnsi"/>
        </w:rPr>
      </w:pPr>
      <w:r w:rsidRPr="001B4284">
        <w:rPr>
          <w:rFonts w:asciiTheme="majorHAnsi" w:eastAsiaTheme="minorEastAsia" w:hAnsiTheme="majorHAnsi" w:cstheme="majorHAnsi"/>
        </w:rPr>
        <w:lastRenderedPageBreak/>
        <w:t xml:space="preserve">Freeman, E. M. (2001). Assessment: </w:t>
      </w:r>
      <w:hyperlink r:id="rId86">
        <w:r w:rsidRPr="001B4284">
          <w:rPr>
            <w:rStyle w:val="Hyperlink"/>
            <w:rFonts w:asciiTheme="majorHAnsi" w:eastAsiaTheme="minorEastAsia" w:hAnsiTheme="majorHAnsi" w:cstheme="majorHAnsi"/>
          </w:rPr>
          <w:t>Clients as Experts on Their Experiences, Recovery Motivation, and Power Resources</w:t>
        </w:r>
      </w:hyperlink>
      <w:r w:rsidRPr="001B4284">
        <w:rPr>
          <w:rFonts w:asciiTheme="majorHAnsi" w:eastAsiaTheme="minorEastAsia" w:hAnsiTheme="majorHAnsi" w:cstheme="majorHAnsi"/>
        </w:rPr>
        <w:t xml:space="preserve">. In A. Gitterman (Ed.), </w:t>
      </w:r>
      <w:r w:rsidRPr="001B4284">
        <w:rPr>
          <w:rFonts w:asciiTheme="majorHAnsi" w:eastAsiaTheme="minorEastAsia" w:hAnsiTheme="majorHAnsi" w:cstheme="majorHAnsi"/>
          <w:i/>
          <w:iCs/>
        </w:rPr>
        <w:t xml:space="preserve">Substance Abuse Intervention, Prevention, Rehabilitation, and Systems Change </w:t>
      </w:r>
      <w:r w:rsidRPr="001B4284">
        <w:rPr>
          <w:rFonts w:asciiTheme="majorHAnsi" w:eastAsiaTheme="minorEastAsia" w:hAnsiTheme="majorHAnsi" w:cstheme="majorHAnsi"/>
        </w:rPr>
        <w:t xml:space="preserve">(pp. 183–207). Columbia University Press; JSTOR. </w:t>
      </w:r>
      <w:hyperlink r:id="rId87">
        <w:r w:rsidRPr="001B4284">
          <w:rPr>
            <w:rStyle w:val="Hyperlink"/>
            <w:rFonts w:asciiTheme="majorHAnsi" w:eastAsiaTheme="minorEastAsia" w:hAnsiTheme="majorHAnsi" w:cstheme="majorHAnsi"/>
          </w:rPr>
          <w:t>https://doi.org/10.7312/free10236.16</w:t>
        </w:r>
      </w:hyperlink>
    </w:p>
    <w:p w14:paraId="05EC8177" w14:textId="77777777" w:rsidR="00CB51E7" w:rsidRPr="001B4284" w:rsidRDefault="00CB51E7" w:rsidP="00096694">
      <w:pPr>
        <w:pStyle w:val="ListParagraph"/>
        <w:numPr>
          <w:ilvl w:val="0"/>
          <w:numId w:val="32"/>
        </w:numPr>
        <w:spacing w:after="0" w:line="240" w:lineRule="auto"/>
        <w:ind w:left="504"/>
        <w:rPr>
          <w:rFonts w:asciiTheme="majorHAnsi" w:eastAsiaTheme="minorEastAsia" w:hAnsiTheme="majorHAnsi" w:cstheme="majorHAnsi"/>
          <w:color w:val="000000" w:themeColor="text1"/>
        </w:rPr>
      </w:pPr>
      <w:r w:rsidRPr="001B4284">
        <w:rPr>
          <w:rFonts w:asciiTheme="majorHAnsi" w:eastAsiaTheme="minorEastAsia" w:hAnsiTheme="majorHAnsi" w:cstheme="majorHAnsi"/>
          <w:color w:val="000000" w:themeColor="text1"/>
        </w:rPr>
        <w:t xml:space="preserve">Freedland, T. (n.d.). </w:t>
      </w:r>
      <w:hyperlink r:id="rId88">
        <w:r w:rsidRPr="001B4284">
          <w:rPr>
            <w:rStyle w:val="Hyperlink"/>
            <w:rFonts w:asciiTheme="majorHAnsi" w:eastAsiaTheme="minorEastAsia" w:hAnsiTheme="majorHAnsi" w:cstheme="majorHAnsi"/>
          </w:rPr>
          <w:t>Using the ASAM Framework for Co-Occurring Disorders</w:t>
        </w:r>
      </w:hyperlink>
      <w:r w:rsidRPr="001B4284">
        <w:rPr>
          <w:rFonts w:asciiTheme="majorHAnsi" w:eastAsiaTheme="minorEastAsia" w:hAnsiTheme="majorHAnsi" w:cstheme="majorHAnsi"/>
          <w:color w:val="000000" w:themeColor="text1"/>
        </w:rPr>
        <w:t xml:space="preserve">. Minnesota Center for Chemical and Mental Health. </w:t>
      </w:r>
    </w:p>
    <w:p w14:paraId="5D2F5AEA" w14:textId="77777777" w:rsidR="00CB51E7" w:rsidRPr="001B4284" w:rsidRDefault="00CB51E7" w:rsidP="00096694">
      <w:pPr>
        <w:pStyle w:val="ListParagraph"/>
        <w:numPr>
          <w:ilvl w:val="0"/>
          <w:numId w:val="32"/>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 xml:space="preserve">Hansen, H. (2019). Substance-Induced Psychosis: Clinical-Racial Subjectivities and Capital in Diagnostic Apartheid. </w:t>
      </w:r>
      <w:r w:rsidRPr="001B4284">
        <w:rPr>
          <w:rFonts w:asciiTheme="majorHAnsi" w:eastAsia="Calibri" w:hAnsiTheme="majorHAnsi" w:cstheme="majorHAnsi"/>
          <w:i/>
          <w:iCs/>
          <w:color w:val="000000" w:themeColor="text1"/>
        </w:rPr>
        <w:t>Ethos</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47</w:t>
      </w:r>
      <w:r w:rsidRPr="001B4284">
        <w:rPr>
          <w:rFonts w:asciiTheme="majorHAnsi" w:eastAsia="Calibri" w:hAnsiTheme="majorHAnsi" w:cstheme="majorHAnsi"/>
          <w:color w:val="000000" w:themeColor="text1"/>
        </w:rPr>
        <w:t xml:space="preserve">(1), 73–88. </w:t>
      </w:r>
      <w:hyperlink r:id="rId89">
        <w:r w:rsidRPr="001B4284">
          <w:rPr>
            <w:rStyle w:val="Hyperlink"/>
            <w:rFonts w:asciiTheme="majorHAnsi" w:eastAsia="Calibri" w:hAnsiTheme="majorHAnsi" w:cstheme="majorHAnsi"/>
          </w:rPr>
          <w:t>https://doi.org/10.1111/etho.12223</w:t>
        </w:r>
      </w:hyperlink>
    </w:p>
    <w:p w14:paraId="7CBFB50C" w14:textId="77777777" w:rsidR="00CB51E7" w:rsidRPr="001B4284" w:rsidRDefault="00CB51E7" w:rsidP="00096694">
      <w:pPr>
        <w:pStyle w:val="ListParagraph"/>
        <w:numPr>
          <w:ilvl w:val="0"/>
          <w:numId w:val="32"/>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Harris, N., Brazeau, J. Clarkson, A., Brownlee, K. &amp; Rawana, E.P. (2012). Adolescents’ experiences of a strengths-based treatment program for substance abuse. </w:t>
      </w:r>
      <w:r w:rsidRPr="001B4284">
        <w:rPr>
          <w:rFonts w:asciiTheme="majorHAnsi" w:eastAsia="Calibri" w:hAnsiTheme="majorHAnsi" w:cstheme="majorHAnsi"/>
          <w:i/>
          <w:iCs/>
          <w:color w:val="000000" w:themeColor="text1"/>
        </w:rPr>
        <w:t>Journal of Psychoactive Drugs,</w:t>
      </w:r>
      <w:r w:rsidRPr="001B4284">
        <w:rPr>
          <w:rFonts w:asciiTheme="majorHAnsi" w:eastAsia="Calibri" w:hAnsiTheme="majorHAnsi" w:cstheme="majorHAnsi"/>
          <w:color w:val="000000" w:themeColor="text1"/>
        </w:rPr>
        <w:t xml:space="preserve"> 44, 390-397. </w:t>
      </w:r>
      <w:hyperlink r:id="rId90">
        <w:r w:rsidRPr="001B4284">
          <w:rPr>
            <w:rStyle w:val="Hyperlink"/>
            <w:rFonts w:asciiTheme="majorHAnsi" w:eastAsia="Calibri" w:hAnsiTheme="majorHAnsi" w:cstheme="majorHAnsi"/>
          </w:rPr>
          <w:t>https://doi.org/10.1080/02791072.2012.736822</w:t>
        </w:r>
      </w:hyperlink>
    </w:p>
    <w:p w14:paraId="619178BB" w14:textId="77777777" w:rsidR="00CB51E7" w:rsidRPr="001B4284" w:rsidRDefault="00CB51E7" w:rsidP="00096694">
      <w:pPr>
        <w:pStyle w:val="ListParagraph"/>
        <w:numPr>
          <w:ilvl w:val="0"/>
          <w:numId w:val="32"/>
        </w:numPr>
        <w:spacing w:after="0" w:line="240" w:lineRule="auto"/>
        <w:ind w:left="504"/>
        <w:rPr>
          <w:rFonts w:asciiTheme="majorHAnsi" w:eastAsiaTheme="minorEastAsia" w:hAnsiTheme="majorHAnsi" w:cstheme="majorHAnsi"/>
          <w:color w:val="000000" w:themeColor="text1"/>
        </w:rPr>
      </w:pPr>
      <w:r w:rsidRPr="001B4284">
        <w:rPr>
          <w:rFonts w:asciiTheme="majorHAnsi" w:eastAsia="Calibri" w:hAnsiTheme="majorHAnsi" w:cstheme="majorHAnsi"/>
        </w:rPr>
        <w:t xml:space="preserve">Maxwell, S.M., Bigg, D., Stanczykiewicz, and Carlberg-Racich, S.C. (2006). Prescribing naloxone to actively injecting heroin users: A program to reduce heroin overdose.  </w:t>
      </w:r>
      <w:r w:rsidRPr="001B4284">
        <w:rPr>
          <w:rFonts w:asciiTheme="majorHAnsi" w:eastAsia="Calibri" w:hAnsiTheme="majorHAnsi" w:cstheme="majorHAnsi"/>
          <w:i/>
          <w:iCs/>
        </w:rPr>
        <w:t>Journal of Addictive Diseases, 25</w:t>
      </w:r>
      <w:r w:rsidRPr="001B4284">
        <w:rPr>
          <w:rFonts w:asciiTheme="majorHAnsi" w:eastAsia="Calibri" w:hAnsiTheme="majorHAnsi" w:cstheme="majorHAnsi"/>
        </w:rPr>
        <w:t xml:space="preserve">(3), 89-96. Retrieved from </w:t>
      </w:r>
      <w:hyperlink r:id="rId91">
        <w:r w:rsidRPr="001B4284">
          <w:rPr>
            <w:rStyle w:val="Hyperlink"/>
            <w:rFonts w:asciiTheme="majorHAnsi" w:eastAsia="Calibri" w:hAnsiTheme="majorHAnsi" w:cstheme="majorHAnsi"/>
          </w:rPr>
          <w:t>http://www.anypositivechange.org/ODvv.pdf</w:t>
        </w:r>
      </w:hyperlink>
      <w:r w:rsidRPr="001B4284">
        <w:rPr>
          <w:rFonts w:asciiTheme="majorHAnsi" w:eastAsia="Calibri" w:hAnsiTheme="majorHAnsi" w:cstheme="majorHAnsi"/>
        </w:rPr>
        <w:t>.</w:t>
      </w:r>
    </w:p>
    <w:p w14:paraId="24D18304" w14:textId="77777777" w:rsidR="00CB51E7" w:rsidRPr="001B4284" w:rsidRDefault="00CB51E7" w:rsidP="00096694">
      <w:pPr>
        <w:pStyle w:val="ListParagraph"/>
        <w:numPr>
          <w:ilvl w:val="0"/>
          <w:numId w:val="32"/>
        </w:numPr>
        <w:spacing w:after="0" w:line="240" w:lineRule="auto"/>
        <w:ind w:left="504"/>
        <w:rPr>
          <w:rStyle w:val="Hyperlink"/>
          <w:rFonts w:asciiTheme="majorHAnsi" w:eastAsiaTheme="minorEastAsia" w:hAnsiTheme="majorHAnsi" w:cstheme="majorHAnsi"/>
        </w:rPr>
      </w:pPr>
      <w:r w:rsidRPr="001B4284">
        <w:rPr>
          <w:rFonts w:asciiTheme="majorHAnsi" w:eastAsiaTheme="minorEastAsia" w:hAnsiTheme="majorHAnsi" w:cstheme="majorHAnsi"/>
          <w:color w:val="000000" w:themeColor="text1"/>
        </w:rPr>
        <w:t xml:space="preserve">Substance Use Disorder Assessment: </w:t>
      </w:r>
      <w:hyperlink r:id="rId92" w:history="1">
        <w:r w:rsidRPr="001B4284">
          <w:rPr>
            <w:rStyle w:val="Hyperlink"/>
            <w:rFonts w:asciiTheme="majorHAnsi" w:eastAsiaTheme="minorEastAsia" w:hAnsiTheme="majorHAnsi" w:cstheme="majorHAnsi"/>
          </w:rPr>
          <w:t>https://www.youtube.com/watch?v=H8CJxNP0nv8</w:t>
        </w:r>
      </w:hyperlink>
    </w:p>
    <w:p w14:paraId="3E3D1D3A" w14:textId="5EC4F248" w:rsidR="00CB51E7" w:rsidRPr="00471AA1" w:rsidRDefault="00CB51E7" w:rsidP="00096694">
      <w:pPr>
        <w:pStyle w:val="ListParagraph"/>
        <w:numPr>
          <w:ilvl w:val="0"/>
          <w:numId w:val="32"/>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Singer, J. B. (Producer). (2016, August 23). #105 - Recovery High Schools: Interview with Lori Holleran Steiker, Ph.D. [Audio Podcast]. </w:t>
      </w:r>
      <w:r w:rsidRPr="001B4284">
        <w:rPr>
          <w:rFonts w:asciiTheme="majorHAnsi" w:eastAsia="Calibri" w:hAnsiTheme="majorHAnsi" w:cstheme="majorHAnsi"/>
          <w:i/>
          <w:iCs/>
          <w:color w:val="000000" w:themeColor="text1"/>
        </w:rPr>
        <w:t>Social Work Podcast</w:t>
      </w:r>
      <w:r w:rsidRPr="001B4284">
        <w:rPr>
          <w:rFonts w:asciiTheme="majorHAnsi" w:eastAsia="Calibri" w:hAnsiTheme="majorHAnsi" w:cstheme="majorHAnsi"/>
          <w:color w:val="000000" w:themeColor="text1"/>
        </w:rPr>
        <w:t xml:space="preserve">. </w:t>
      </w:r>
      <w:hyperlink r:id="rId93">
        <w:r w:rsidRPr="001B4284">
          <w:rPr>
            <w:rStyle w:val="Hyperlink"/>
            <w:rFonts w:asciiTheme="majorHAnsi" w:eastAsia="Calibri" w:hAnsiTheme="majorHAnsi" w:cstheme="majorHAnsi"/>
          </w:rPr>
          <w:t>http://www.socialworkpodcast.com/2016/08/RecoveryHS.html</w:t>
        </w:r>
      </w:hyperlink>
    </w:p>
    <w:p w14:paraId="01CC4727" w14:textId="1E5068A2" w:rsidR="00CB51E7" w:rsidRPr="00536F05" w:rsidRDefault="00CB51E7" w:rsidP="00536F05">
      <w:pPr>
        <w:pStyle w:val="Heading1"/>
        <w:spacing w:before="120" w:after="120" w:line="240" w:lineRule="auto"/>
        <w:rPr>
          <w:b/>
          <w:bCs/>
          <w:color w:val="000000" w:themeColor="text1"/>
          <w:sz w:val="24"/>
          <w:szCs w:val="24"/>
        </w:rPr>
      </w:pPr>
      <w:r w:rsidRPr="00536F05">
        <w:rPr>
          <w:b/>
          <w:bCs/>
          <w:color w:val="000000" w:themeColor="text1"/>
          <w:sz w:val="24"/>
          <w:szCs w:val="24"/>
        </w:rPr>
        <w:t>Module 13</w:t>
      </w:r>
    </w:p>
    <w:p w14:paraId="3953E23F" w14:textId="3A785CB9" w:rsidR="0019210D" w:rsidRDefault="0019210D" w:rsidP="00536F05">
      <w:pPr>
        <w:pStyle w:val="Heading2"/>
        <w:spacing w:before="120" w:after="120"/>
        <w:ind w:left="144"/>
        <w:rPr>
          <w:b/>
          <w:bCs/>
          <w:color w:val="000000" w:themeColor="text1"/>
          <w:sz w:val="22"/>
          <w:szCs w:val="22"/>
        </w:rPr>
      </w:pPr>
      <w:r w:rsidRPr="00536F05">
        <w:rPr>
          <w:b/>
          <w:bCs/>
          <w:color w:val="000000" w:themeColor="text1"/>
          <w:sz w:val="22"/>
          <w:szCs w:val="22"/>
        </w:rPr>
        <w:t xml:space="preserve">Personality disorders </w:t>
      </w:r>
    </w:p>
    <w:p w14:paraId="368A01BF" w14:textId="736B6911" w:rsidR="00536F05" w:rsidRPr="00536F05" w:rsidRDefault="00536F05" w:rsidP="00536F05">
      <w:pPr>
        <w:spacing w:after="0" w:line="240" w:lineRule="auto"/>
        <w:ind w:left="144"/>
        <w:rPr>
          <w:rFonts w:asciiTheme="majorHAnsi" w:hAnsiTheme="majorHAnsi" w:cstheme="majorHAnsi"/>
        </w:rPr>
      </w:pPr>
      <w:r w:rsidRPr="00536F05">
        <w:rPr>
          <w:rFonts w:asciiTheme="majorHAnsi" w:hAnsiTheme="majorHAnsi" w:cstheme="majorHAnsi"/>
        </w:rPr>
        <w:t>This module will cover diagnoses from the personality disorders section of the DSM-5, examining the criteria for the disorders as well as considering the role of culture in influencing diagnoses.</w:t>
      </w:r>
    </w:p>
    <w:p w14:paraId="0DCAD4D7" w14:textId="319B9413" w:rsidR="0019210D" w:rsidRDefault="0019210D"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388C5EFD" w14:textId="4CDE7A58" w:rsidR="00056477" w:rsidRPr="00536F05" w:rsidRDefault="00056477" w:rsidP="00536F05">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57CE5294" w14:textId="77777777" w:rsidR="0019210D" w:rsidRPr="001B4284" w:rsidRDefault="0019210D" w:rsidP="00096694">
      <w:pPr>
        <w:pStyle w:val="NormalWeb"/>
        <w:numPr>
          <w:ilvl w:val="0"/>
          <w:numId w:val="33"/>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Critique the validity of the personality disorder diagnostic framework in the DSM-5</w:t>
      </w:r>
    </w:p>
    <w:p w14:paraId="2142D3B4" w14:textId="77777777" w:rsidR="0019210D" w:rsidRPr="001B4284" w:rsidRDefault="0019210D" w:rsidP="00096694">
      <w:pPr>
        <w:pStyle w:val="NormalWeb"/>
        <w:numPr>
          <w:ilvl w:val="0"/>
          <w:numId w:val="33"/>
        </w:numPr>
        <w:spacing w:before="0" w:beforeAutospacing="0" w:after="0" w:afterAutospacing="0"/>
        <w:ind w:left="504"/>
        <w:rPr>
          <w:rFonts w:asciiTheme="majorHAnsi" w:hAnsiTheme="majorHAnsi" w:cstheme="majorHAnsi"/>
          <w:sz w:val="22"/>
          <w:szCs w:val="22"/>
        </w:rPr>
      </w:pPr>
      <w:r w:rsidRPr="001B4284">
        <w:rPr>
          <w:rFonts w:asciiTheme="majorHAnsi" w:hAnsiTheme="majorHAnsi" w:cstheme="majorHAnsi"/>
          <w:sz w:val="22"/>
          <w:szCs w:val="22"/>
        </w:rPr>
        <w:t>Examine the role of culture in influencing diagnosis of personality disorders</w:t>
      </w:r>
    </w:p>
    <w:p w14:paraId="60F2A5C5" w14:textId="1BC0755D" w:rsidR="0019210D" w:rsidRPr="001B4284" w:rsidRDefault="0019210D" w:rsidP="00096694">
      <w:pPr>
        <w:pStyle w:val="ListParagraph"/>
        <w:numPr>
          <w:ilvl w:val="0"/>
          <w:numId w:val="33"/>
        </w:numPr>
        <w:spacing w:after="0" w:line="240" w:lineRule="auto"/>
        <w:ind w:left="504"/>
        <w:rPr>
          <w:rFonts w:asciiTheme="majorHAnsi" w:hAnsiTheme="majorHAnsi" w:cstheme="majorHAnsi"/>
          <w:b/>
          <w:bCs/>
        </w:rPr>
      </w:pPr>
      <w:r w:rsidRPr="001B4284">
        <w:rPr>
          <w:rFonts w:asciiTheme="majorHAnsi" w:hAnsiTheme="majorHAnsi" w:cstheme="majorHAnsi"/>
        </w:rPr>
        <w:t>Apply diagnostic criteria for personality disorders to case material</w:t>
      </w:r>
    </w:p>
    <w:p w14:paraId="5F416DDF" w14:textId="63721D10" w:rsidR="0019210D" w:rsidRPr="001B4284" w:rsidRDefault="0019210D" w:rsidP="00536F05">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2A3F3E03" w14:textId="77777777" w:rsidR="0019210D" w:rsidRPr="001B4284" w:rsidRDefault="0019210D" w:rsidP="00096694">
      <w:pPr>
        <w:pStyle w:val="ListParagraph"/>
        <w:numPr>
          <w:ilvl w:val="0"/>
          <w:numId w:val="34"/>
        </w:numPr>
        <w:spacing w:after="0" w:line="240" w:lineRule="auto"/>
        <w:ind w:left="504"/>
        <w:jc w:val="both"/>
        <w:rPr>
          <w:rFonts w:asciiTheme="majorHAnsi" w:hAnsiTheme="majorHAnsi" w:cstheme="majorHAnsi"/>
        </w:rPr>
      </w:pPr>
      <w:r w:rsidRPr="001B4284">
        <w:rPr>
          <w:rFonts w:asciiTheme="majorHAnsi" w:eastAsia="Calibri" w:hAnsiTheme="majorHAnsi" w:cstheme="majorHAnsi"/>
          <w:color w:val="000000" w:themeColor="text1"/>
        </w:rPr>
        <w:t>DSM-5, Personality disorders</w:t>
      </w:r>
    </w:p>
    <w:p w14:paraId="573AD507" w14:textId="77777777" w:rsidR="0019210D" w:rsidRPr="001B4284" w:rsidRDefault="0019210D" w:rsidP="00096694">
      <w:pPr>
        <w:pStyle w:val="ListParagraph"/>
        <w:numPr>
          <w:ilvl w:val="0"/>
          <w:numId w:val="34"/>
        </w:numPr>
        <w:spacing w:after="0" w:line="240" w:lineRule="auto"/>
        <w:ind w:left="504"/>
        <w:rPr>
          <w:rFonts w:asciiTheme="majorHAnsi" w:eastAsia="Calibri" w:hAnsiTheme="majorHAnsi" w:cstheme="majorHAnsi"/>
          <w:color w:val="000000" w:themeColor="text1"/>
        </w:rPr>
      </w:pPr>
      <w:r w:rsidRPr="001B4284">
        <w:rPr>
          <w:rFonts w:asciiTheme="majorHAnsi" w:eastAsia="Calibri" w:hAnsiTheme="majorHAnsi" w:cstheme="majorHAnsi"/>
          <w:color w:val="000000" w:themeColor="text1"/>
        </w:rPr>
        <w:t>Shea, Chapters 13-15</w:t>
      </w:r>
    </w:p>
    <w:p w14:paraId="070B4284" w14:textId="77777777" w:rsidR="0019210D" w:rsidRPr="001B4284" w:rsidRDefault="0019210D" w:rsidP="00096694">
      <w:pPr>
        <w:pStyle w:val="ListParagraph"/>
        <w:numPr>
          <w:ilvl w:val="0"/>
          <w:numId w:val="34"/>
        </w:numPr>
        <w:spacing w:after="0" w:line="240" w:lineRule="auto"/>
        <w:ind w:left="504"/>
        <w:rPr>
          <w:rFonts w:asciiTheme="majorHAnsi" w:hAnsiTheme="majorHAnsi" w:cstheme="majorHAnsi"/>
        </w:rPr>
      </w:pPr>
      <w:r w:rsidRPr="001B4284">
        <w:rPr>
          <w:rFonts w:asciiTheme="majorHAnsi" w:eastAsia="Calibri" w:hAnsiTheme="majorHAnsi" w:cstheme="majorHAnsi"/>
          <w:color w:val="000000" w:themeColor="text1"/>
        </w:rPr>
        <w:t xml:space="preserve">Hossain, A., Malkov, M., Lee, T., &amp; Bhui, K. (2018). Ethnic variation in personality disorder: Evaluation of 6 years of hospital admissions. </w:t>
      </w:r>
      <w:r w:rsidRPr="001B4284">
        <w:rPr>
          <w:rFonts w:asciiTheme="majorHAnsi" w:eastAsia="Calibri" w:hAnsiTheme="majorHAnsi" w:cstheme="majorHAnsi"/>
          <w:i/>
          <w:iCs/>
          <w:color w:val="000000" w:themeColor="text1"/>
        </w:rPr>
        <w:t>BJPsych Bulletin</w:t>
      </w:r>
      <w:r w:rsidRPr="001B4284">
        <w:rPr>
          <w:rFonts w:asciiTheme="majorHAnsi" w:eastAsia="Calibri" w:hAnsiTheme="majorHAnsi" w:cstheme="majorHAnsi"/>
          <w:color w:val="000000" w:themeColor="text1"/>
        </w:rPr>
        <w:t xml:space="preserve">, </w:t>
      </w:r>
      <w:r w:rsidRPr="001B4284">
        <w:rPr>
          <w:rFonts w:asciiTheme="majorHAnsi" w:eastAsia="Calibri" w:hAnsiTheme="majorHAnsi" w:cstheme="majorHAnsi"/>
          <w:i/>
          <w:iCs/>
          <w:color w:val="000000" w:themeColor="text1"/>
        </w:rPr>
        <w:t>42</w:t>
      </w:r>
      <w:r w:rsidRPr="001B4284">
        <w:rPr>
          <w:rFonts w:asciiTheme="majorHAnsi" w:eastAsia="Calibri" w:hAnsiTheme="majorHAnsi" w:cstheme="majorHAnsi"/>
          <w:color w:val="000000" w:themeColor="text1"/>
        </w:rPr>
        <w:t xml:space="preserve">(4), 157–161. </w:t>
      </w:r>
      <w:hyperlink r:id="rId94">
        <w:r w:rsidRPr="001B4284">
          <w:rPr>
            <w:rStyle w:val="Hyperlink"/>
            <w:rFonts w:asciiTheme="majorHAnsi" w:eastAsia="Calibri" w:hAnsiTheme="majorHAnsi" w:cstheme="majorHAnsi"/>
          </w:rPr>
          <w:t>https://doi.org/10.1192/bjb.2018.31</w:t>
        </w:r>
      </w:hyperlink>
    </w:p>
    <w:p w14:paraId="3A71D7D6" w14:textId="0B60DC70" w:rsidR="0019210D" w:rsidRPr="001B4284" w:rsidRDefault="0019210D" w:rsidP="00096694">
      <w:pPr>
        <w:pStyle w:val="ListParagraph"/>
        <w:numPr>
          <w:ilvl w:val="0"/>
          <w:numId w:val="34"/>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 xml:space="preserve">Singer, J. B. (Producer). (2007, October 15). Dialectical Behavior Therapy: Interview with Sabrina Heller, LSW. [Episode 26]. </w:t>
      </w:r>
      <w:r w:rsidRPr="001B4284">
        <w:rPr>
          <w:rFonts w:asciiTheme="majorHAnsi" w:eastAsia="Calibri" w:hAnsiTheme="majorHAnsi" w:cstheme="majorHAnsi"/>
          <w:i/>
          <w:iCs/>
          <w:color w:val="000000" w:themeColor="text1"/>
        </w:rPr>
        <w:t>Social Work Podcast</w:t>
      </w:r>
      <w:r w:rsidRPr="001B4284">
        <w:rPr>
          <w:rFonts w:asciiTheme="majorHAnsi" w:eastAsia="Calibri" w:hAnsiTheme="majorHAnsi" w:cstheme="majorHAnsi"/>
          <w:color w:val="000000" w:themeColor="text1"/>
        </w:rPr>
        <w:t xml:space="preserve">  Retrieved from </w:t>
      </w:r>
      <w:hyperlink r:id="rId95">
        <w:r w:rsidRPr="001B4284">
          <w:rPr>
            <w:rStyle w:val="Hyperlink"/>
            <w:rFonts w:asciiTheme="majorHAnsi" w:eastAsia="Calibri" w:hAnsiTheme="majorHAnsi" w:cstheme="majorHAnsi"/>
          </w:rPr>
          <w:t>http://socialworkpodcast.com/2007/10/dialectical-behavior-therapy-interview.html</w:t>
        </w:r>
      </w:hyperlink>
    </w:p>
    <w:p w14:paraId="6BE8F692" w14:textId="5CC24678" w:rsidR="0019210D" w:rsidRPr="003B78D3" w:rsidRDefault="00CB51E7" w:rsidP="001B4284">
      <w:pPr>
        <w:spacing w:before="120" w:after="120" w:line="240" w:lineRule="auto"/>
        <w:rPr>
          <w:rFonts w:asciiTheme="majorHAnsi" w:hAnsiTheme="majorHAnsi" w:cstheme="majorHAnsi"/>
          <w:b/>
          <w:bCs/>
          <w:sz w:val="24"/>
          <w:szCs w:val="24"/>
        </w:rPr>
      </w:pPr>
      <w:r w:rsidRPr="003B78D3">
        <w:rPr>
          <w:rFonts w:asciiTheme="majorHAnsi" w:hAnsiTheme="majorHAnsi" w:cstheme="majorHAnsi"/>
          <w:b/>
          <w:bCs/>
          <w:sz w:val="24"/>
          <w:szCs w:val="24"/>
        </w:rPr>
        <w:t>Module 14</w:t>
      </w:r>
    </w:p>
    <w:p w14:paraId="52D92C33" w14:textId="321ADB81" w:rsidR="003B78D3" w:rsidRPr="003B78D3" w:rsidRDefault="003B78D3" w:rsidP="003B78D3">
      <w:pPr>
        <w:pStyle w:val="Heading2"/>
        <w:spacing w:before="120" w:after="120"/>
        <w:ind w:left="144"/>
        <w:rPr>
          <w:b/>
          <w:bCs/>
          <w:color w:val="000000" w:themeColor="text1"/>
          <w:sz w:val="22"/>
          <w:szCs w:val="22"/>
        </w:rPr>
      </w:pPr>
      <w:r w:rsidRPr="003B78D3">
        <w:rPr>
          <w:b/>
          <w:bCs/>
          <w:color w:val="000000" w:themeColor="text1"/>
          <w:sz w:val="22"/>
          <w:szCs w:val="22"/>
        </w:rPr>
        <w:t>Course summary</w:t>
      </w:r>
    </w:p>
    <w:p w14:paraId="047672E4" w14:textId="303A97AA" w:rsidR="0019210D" w:rsidRPr="001B4284" w:rsidRDefault="0019210D" w:rsidP="003B78D3">
      <w:pPr>
        <w:spacing w:after="0" w:line="240" w:lineRule="auto"/>
        <w:ind w:left="144"/>
        <w:rPr>
          <w:rFonts w:asciiTheme="majorHAnsi" w:eastAsia="Calibri" w:hAnsiTheme="majorHAnsi" w:cstheme="majorHAnsi"/>
        </w:rPr>
      </w:pPr>
      <w:r w:rsidRPr="001B4284">
        <w:rPr>
          <w:rFonts w:asciiTheme="majorHAnsi" w:eastAsia="Calibri" w:hAnsiTheme="majorHAnsi" w:cstheme="majorHAnsi"/>
        </w:rPr>
        <w:t xml:space="preserve">Other diagnoses (Feeding and eating disorders, neurocognitive disorders, gender dysphoria, sexual dysfunctions, paraphilic disorders, sleep-wake disorders, dissociative disorders, somatic symptom disorders) </w:t>
      </w:r>
      <w:r w:rsidRPr="001B4284">
        <w:rPr>
          <w:rFonts w:asciiTheme="majorHAnsi" w:eastAsia="Calibri" w:hAnsiTheme="majorHAnsi" w:cstheme="majorHAnsi"/>
          <w:highlight w:val="yellow"/>
        </w:rPr>
        <w:t>NOTE: Instructors may choose on which of these to focus for this week</w:t>
      </w:r>
    </w:p>
    <w:p w14:paraId="24163EDD" w14:textId="3058EEB7" w:rsidR="0019210D" w:rsidRDefault="0019210D" w:rsidP="003B78D3">
      <w:pPr>
        <w:spacing w:before="120" w:after="120" w:line="240" w:lineRule="auto"/>
        <w:ind w:left="144"/>
        <w:rPr>
          <w:rFonts w:asciiTheme="majorHAnsi" w:hAnsiTheme="majorHAnsi" w:cstheme="majorHAnsi"/>
          <w:b/>
          <w:bCs/>
        </w:rPr>
      </w:pPr>
      <w:r w:rsidRPr="001B4284">
        <w:rPr>
          <w:rFonts w:asciiTheme="majorHAnsi" w:hAnsiTheme="majorHAnsi" w:cstheme="majorHAnsi"/>
          <w:b/>
          <w:bCs/>
        </w:rPr>
        <w:t>Learning Objectives</w:t>
      </w:r>
    </w:p>
    <w:p w14:paraId="205D01D8" w14:textId="77777777" w:rsidR="00056477" w:rsidRPr="00056477" w:rsidRDefault="00056477" w:rsidP="00056477">
      <w:pPr>
        <w:spacing w:before="120" w:after="120" w:line="240" w:lineRule="auto"/>
        <w:ind w:left="144"/>
        <w:rPr>
          <w:rFonts w:asciiTheme="majorHAnsi" w:hAnsiTheme="majorHAnsi" w:cstheme="majorHAnsi"/>
        </w:rPr>
      </w:pPr>
      <w:r w:rsidRPr="00056477">
        <w:rPr>
          <w:rFonts w:asciiTheme="majorHAnsi" w:hAnsiTheme="majorHAnsi" w:cstheme="majorHAnsi"/>
        </w:rPr>
        <w:t>After successfully completing this module, students will be able to:</w:t>
      </w:r>
    </w:p>
    <w:p w14:paraId="5ECAAD08" w14:textId="77777777" w:rsidR="00056477" w:rsidRPr="001B4284" w:rsidRDefault="00056477" w:rsidP="001B4284">
      <w:pPr>
        <w:spacing w:before="120" w:after="120" w:line="240" w:lineRule="auto"/>
        <w:rPr>
          <w:rFonts w:asciiTheme="majorHAnsi" w:hAnsiTheme="majorHAnsi" w:cstheme="majorHAnsi"/>
          <w:b/>
          <w:bCs/>
        </w:rPr>
      </w:pPr>
    </w:p>
    <w:p w14:paraId="7D64E3E3" w14:textId="77777777" w:rsidR="0019210D" w:rsidRPr="001B4284" w:rsidRDefault="0019210D" w:rsidP="00C860C4">
      <w:pPr>
        <w:pStyle w:val="ListParagraph"/>
        <w:numPr>
          <w:ilvl w:val="0"/>
          <w:numId w:val="35"/>
        </w:numPr>
        <w:spacing w:after="0" w:line="240" w:lineRule="auto"/>
        <w:ind w:left="504"/>
        <w:rPr>
          <w:rFonts w:asciiTheme="majorHAnsi" w:hAnsiTheme="majorHAnsi" w:cstheme="majorHAnsi"/>
        </w:rPr>
      </w:pPr>
      <w:r w:rsidRPr="001B4284">
        <w:rPr>
          <w:rFonts w:asciiTheme="majorHAnsi" w:hAnsiTheme="majorHAnsi" w:cstheme="majorHAnsi"/>
        </w:rPr>
        <w:lastRenderedPageBreak/>
        <w:t>Apply diagnostic criteria for _______ disorders to case material.</w:t>
      </w:r>
    </w:p>
    <w:p w14:paraId="22876E08" w14:textId="77777777" w:rsidR="0019210D" w:rsidRPr="001B4284" w:rsidRDefault="0019210D" w:rsidP="00C860C4">
      <w:pPr>
        <w:pStyle w:val="ListParagraph"/>
        <w:numPr>
          <w:ilvl w:val="0"/>
          <w:numId w:val="35"/>
        </w:numPr>
        <w:spacing w:after="0" w:line="240" w:lineRule="auto"/>
        <w:ind w:left="504"/>
        <w:rPr>
          <w:rFonts w:asciiTheme="majorHAnsi" w:hAnsiTheme="majorHAnsi" w:cstheme="majorHAnsi"/>
        </w:rPr>
      </w:pPr>
      <w:r w:rsidRPr="001B4284">
        <w:rPr>
          <w:rFonts w:asciiTheme="majorHAnsi" w:hAnsiTheme="majorHAnsi" w:cstheme="majorHAnsi"/>
        </w:rPr>
        <w:t>Examine the role of culture in influencing diagnosis of ________.</w:t>
      </w:r>
    </w:p>
    <w:p w14:paraId="2466234C" w14:textId="6FE3FB6B" w:rsidR="0019210D" w:rsidRPr="001B4284" w:rsidRDefault="0019210D" w:rsidP="003B78D3">
      <w:pPr>
        <w:spacing w:before="120" w:after="120" w:line="240" w:lineRule="auto"/>
        <w:ind w:left="144"/>
        <w:rPr>
          <w:rFonts w:asciiTheme="majorHAnsi" w:hAnsiTheme="majorHAnsi" w:cstheme="majorHAnsi"/>
          <w:b/>
          <w:bCs/>
        </w:rPr>
      </w:pPr>
      <w:r w:rsidRPr="001B4284">
        <w:rPr>
          <w:rFonts w:asciiTheme="majorHAnsi" w:hAnsiTheme="majorHAnsi" w:cstheme="majorHAnsi"/>
          <w:b/>
          <w:bCs/>
        </w:rPr>
        <w:t>Required Resources</w:t>
      </w:r>
    </w:p>
    <w:p w14:paraId="186A3D9C" w14:textId="215020BA" w:rsidR="00082386" w:rsidRPr="00082386" w:rsidRDefault="0019210D" w:rsidP="00C860C4">
      <w:pPr>
        <w:pStyle w:val="ListParagraph"/>
        <w:numPr>
          <w:ilvl w:val="0"/>
          <w:numId w:val="36"/>
        </w:numPr>
        <w:spacing w:after="0" w:line="240" w:lineRule="auto"/>
        <w:ind w:left="504"/>
        <w:rPr>
          <w:rFonts w:asciiTheme="majorHAnsi" w:hAnsiTheme="majorHAnsi" w:cstheme="majorHAnsi"/>
          <w:b/>
          <w:bCs/>
        </w:rPr>
      </w:pPr>
      <w:r w:rsidRPr="001B4284">
        <w:rPr>
          <w:rFonts w:asciiTheme="majorHAnsi" w:eastAsia="Calibri" w:hAnsiTheme="majorHAnsi" w:cstheme="majorHAnsi"/>
          <w:color w:val="000000" w:themeColor="text1"/>
        </w:rPr>
        <w:t>DSM &amp; Shea chapters as selected by instructor to correspond to “other” diagnoses of focus.</w:t>
      </w:r>
    </w:p>
    <w:p w14:paraId="56CDFB86" w14:textId="77777777" w:rsidR="00082386" w:rsidRPr="00CC37F0" w:rsidRDefault="00082386" w:rsidP="00082386">
      <w:pPr>
        <w:spacing w:before="120" w:after="120" w:line="240" w:lineRule="auto"/>
        <w:rPr>
          <w:rFonts w:cstheme="minorHAnsi"/>
          <w:b/>
          <w:color w:val="922247"/>
        </w:rPr>
      </w:pPr>
      <w:r w:rsidRPr="00CC37F0">
        <w:rPr>
          <w:rFonts w:cstheme="minorHAnsi"/>
          <w:b/>
          <w:color w:val="922247"/>
        </w:rPr>
        <w:t>COURSE FEEDBACK &amp; SYLLABUS REFERENCES</w:t>
      </w:r>
    </w:p>
    <w:p w14:paraId="373739B1" w14:textId="77777777" w:rsidR="00082386" w:rsidRPr="00CC37F0" w:rsidRDefault="00082386" w:rsidP="00082386">
      <w:pPr>
        <w:spacing w:before="120" w:after="120" w:line="240" w:lineRule="auto"/>
        <w:rPr>
          <w:rFonts w:asciiTheme="majorHAnsi" w:hAnsiTheme="majorHAnsi" w:cstheme="majorHAnsi"/>
          <w:b/>
        </w:rPr>
      </w:pPr>
      <w:r w:rsidRPr="00CC37F0">
        <w:rPr>
          <w:rFonts w:asciiTheme="majorHAnsi" w:hAnsiTheme="majorHAnsi" w:cstheme="majorHAnsi"/>
          <w:b/>
        </w:rPr>
        <w:t>Course Feedback</w:t>
      </w:r>
    </w:p>
    <w:p w14:paraId="5CAD185C" w14:textId="77777777" w:rsidR="00082386" w:rsidRPr="00CC37F0" w:rsidRDefault="00082386" w:rsidP="00082386">
      <w:pPr>
        <w:spacing w:before="120" w:after="120" w:line="240" w:lineRule="auto"/>
        <w:ind w:left="144"/>
        <w:rPr>
          <w:rFonts w:asciiTheme="majorHAnsi" w:hAnsiTheme="majorHAnsi" w:cstheme="majorHAnsi"/>
        </w:rPr>
      </w:pPr>
      <w:r w:rsidRPr="00CC37F0">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78C7230" w14:textId="77777777" w:rsidR="00082386" w:rsidRPr="00CC37F0" w:rsidRDefault="00082386" w:rsidP="00082386">
      <w:pPr>
        <w:spacing w:before="120" w:after="120" w:line="240" w:lineRule="auto"/>
        <w:rPr>
          <w:rFonts w:asciiTheme="majorHAnsi" w:hAnsiTheme="majorHAnsi" w:cstheme="majorHAnsi"/>
          <w:b/>
          <w:bCs/>
        </w:rPr>
      </w:pPr>
      <w:r w:rsidRPr="00CC37F0">
        <w:rPr>
          <w:rFonts w:asciiTheme="majorHAnsi" w:hAnsiTheme="majorHAnsi" w:cstheme="majorHAnsi"/>
          <w:b/>
          <w:bCs/>
        </w:rPr>
        <w:t>Syllabus References</w:t>
      </w:r>
    </w:p>
    <w:p w14:paraId="62058370" w14:textId="77777777" w:rsidR="00082386" w:rsidRPr="00CC37F0" w:rsidRDefault="00082386" w:rsidP="00082386">
      <w:pPr>
        <w:spacing w:before="120" w:after="120" w:line="240" w:lineRule="auto"/>
        <w:rPr>
          <w:rFonts w:cstheme="minorHAnsi"/>
          <w:u w:val="single"/>
        </w:rPr>
      </w:pPr>
      <w:r w:rsidRPr="00EA2FB8">
        <w:rPr>
          <w:rFonts w:cstheme="minorHAnsi"/>
          <w:highlight w:val="yellow"/>
        </w:rPr>
        <w:t xml:space="preserve">[List professional journals, websites, etc. </w:t>
      </w:r>
      <w:r>
        <w:rPr>
          <w:rFonts w:cstheme="minorHAnsi"/>
          <w:highlight w:val="yellow"/>
        </w:rPr>
        <w:t xml:space="preserve">by category </w:t>
      </w:r>
      <w:r w:rsidRPr="00EA2FB8">
        <w:rPr>
          <w:rFonts w:cstheme="minorHAnsi"/>
          <w:highlight w:val="yellow"/>
        </w:rPr>
        <w:t>here]</w:t>
      </w:r>
    </w:p>
    <w:p w14:paraId="08903E07" w14:textId="77777777" w:rsidR="00082386" w:rsidRPr="00680E0F" w:rsidRDefault="00082386" w:rsidP="00082386">
      <w:pPr>
        <w:spacing w:before="120" w:after="120" w:line="240" w:lineRule="auto"/>
        <w:rPr>
          <w:rFonts w:asciiTheme="majorHAnsi" w:hAnsiTheme="majorHAnsi" w:cstheme="majorHAnsi"/>
          <w:b/>
          <w:bCs/>
        </w:rPr>
      </w:pPr>
      <w:r w:rsidRPr="00CC37F0">
        <w:rPr>
          <w:rFonts w:asciiTheme="majorHAnsi" w:hAnsiTheme="majorHAnsi" w:cstheme="majorHAnsi"/>
          <w:b/>
          <w:bCs/>
        </w:rPr>
        <w:t>Professional Journals</w:t>
      </w:r>
    </w:p>
    <w:p w14:paraId="20A839F5" w14:textId="77777777" w:rsidR="00082386" w:rsidRPr="00680E0F" w:rsidRDefault="00082386" w:rsidP="00082386">
      <w:pPr>
        <w:spacing w:before="120" w:after="120" w:line="240" w:lineRule="auto"/>
        <w:rPr>
          <w:rFonts w:asciiTheme="majorHAnsi" w:hAnsiTheme="majorHAnsi" w:cstheme="majorHAnsi"/>
          <w:b/>
          <w:bCs/>
        </w:rPr>
      </w:pPr>
      <w:r w:rsidRPr="00CC37F0">
        <w:rPr>
          <w:rFonts w:asciiTheme="majorHAnsi" w:hAnsiTheme="majorHAnsi" w:cstheme="majorHAnsi"/>
          <w:b/>
          <w:bCs/>
        </w:rPr>
        <w:t>Websites</w:t>
      </w:r>
    </w:p>
    <w:p w14:paraId="70C4344F" w14:textId="77777777" w:rsidR="00082386" w:rsidRPr="00593D2F" w:rsidRDefault="00082386" w:rsidP="00082386">
      <w:pPr>
        <w:spacing w:before="120" w:after="120" w:line="240" w:lineRule="auto"/>
        <w:rPr>
          <w:rFonts w:cstheme="minorHAnsi"/>
          <w:b/>
          <w:bCs/>
        </w:rPr>
      </w:pPr>
      <w:r w:rsidRPr="00680E0F">
        <w:rPr>
          <w:rFonts w:cstheme="minorHAnsi"/>
          <w:b/>
          <w:bCs/>
        </w:rPr>
        <w:t>Other</w:t>
      </w:r>
    </w:p>
    <w:p w14:paraId="602DC43B" w14:textId="77777777" w:rsidR="00082386" w:rsidRPr="00082386" w:rsidRDefault="00082386" w:rsidP="00082386">
      <w:pPr>
        <w:spacing w:before="120" w:after="120" w:line="240" w:lineRule="auto"/>
        <w:rPr>
          <w:rFonts w:asciiTheme="majorHAnsi" w:hAnsiTheme="majorHAnsi" w:cstheme="majorHAnsi"/>
          <w:b/>
          <w:bCs/>
        </w:rPr>
      </w:pPr>
    </w:p>
    <w:sectPr w:rsidR="00082386" w:rsidRPr="00082386" w:rsidSect="00056477">
      <w:headerReference w:type="even" r:id="rId96"/>
      <w:headerReference w:type="default" r:id="rId97"/>
      <w:footerReference w:type="even" r:id="rId98"/>
      <w:footerReference w:type="default" r:id="rId99"/>
      <w:headerReference w:type="first" r:id="rId100"/>
      <w:footerReference w:type="first" r:id="rId101"/>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9A41" w14:textId="77777777" w:rsidR="004A1A7A" w:rsidRDefault="004A1A7A" w:rsidP="00110EC6">
      <w:pPr>
        <w:spacing w:after="0" w:line="240" w:lineRule="auto"/>
      </w:pPr>
      <w:r>
        <w:separator/>
      </w:r>
    </w:p>
  </w:endnote>
  <w:endnote w:type="continuationSeparator" w:id="0">
    <w:p w14:paraId="47583A0D" w14:textId="77777777" w:rsidR="004A1A7A" w:rsidRDefault="004A1A7A" w:rsidP="0011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7B6C" w14:textId="77777777" w:rsidR="00AA155A" w:rsidRDefault="00AA1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323316"/>
      <w:docPartObj>
        <w:docPartGallery w:val="Page Numbers (Bottom of Page)"/>
        <w:docPartUnique/>
      </w:docPartObj>
    </w:sdtPr>
    <w:sdtEndPr>
      <w:rPr>
        <w:noProof/>
      </w:rPr>
    </w:sdtEndPr>
    <w:sdtContent>
      <w:p w14:paraId="108E007A" w14:textId="42436826" w:rsidR="00110EC6" w:rsidRDefault="00110EC6">
        <w:pPr>
          <w:pStyle w:val="Footer"/>
          <w:jc w:val="center"/>
        </w:pPr>
        <w:r>
          <w:fldChar w:fldCharType="begin"/>
        </w:r>
        <w:r>
          <w:instrText xml:space="preserve"> PAGE   \* MERGEFORMAT </w:instrText>
        </w:r>
        <w:r>
          <w:fldChar w:fldCharType="separate"/>
        </w:r>
        <w:r w:rsidR="00AA155A">
          <w:rPr>
            <w:noProof/>
          </w:rPr>
          <w:t>10</w:t>
        </w:r>
        <w:r>
          <w:rPr>
            <w:noProof/>
          </w:rPr>
          <w:fldChar w:fldCharType="end"/>
        </w:r>
      </w:p>
    </w:sdtContent>
  </w:sdt>
  <w:p w14:paraId="465C7BA4" w14:textId="77777777" w:rsidR="00110EC6" w:rsidRDefault="00110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E6B6B" w14:textId="77777777" w:rsidR="00AA155A" w:rsidRDefault="00AA1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8FBD3" w14:textId="77777777" w:rsidR="004A1A7A" w:rsidRDefault="004A1A7A" w:rsidP="00110EC6">
      <w:pPr>
        <w:spacing w:after="0" w:line="240" w:lineRule="auto"/>
      </w:pPr>
      <w:r>
        <w:separator/>
      </w:r>
    </w:p>
  </w:footnote>
  <w:footnote w:type="continuationSeparator" w:id="0">
    <w:p w14:paraId="7E3A61BC" w14:textId="77777777" w:rsidR="004A1A7A" w:rsidRDefault="004A1A7A" w:rsidP="0011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EEBC" w14:textId="77777777" w:rsidR="00AA155A" w:rsidRDefault="00AA1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1F7D" w14:textId="77777777" w:rsidR="00AA155A" w:rsidRDefault="00AA1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4FA7" w14:textId="77777777" w:rsidR="00AA155A" w:rsidRDefault="00AA1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30F"/>
    <w:multiLevelType w:val="hybridMultilevel"/>
    <w:tmpl w:val="5BAC3108"/>
    <w:lvl w:ilvl="0" w:tplc="2F6CA794">
      <w:start w:val="1"/>
      <w:numFmt w:val="decimal"/>
      <w:lvlText w:val="%1."/>
      <w:lvlJc w:val="left"/>
      <w:pPr>
        <w:ind w:left="720" w:hanging="360"/>
      </w:pPr>
      <w:rPr>
        <w:rFonts w:ascii="Calibri Light" w:hAnsi="Calibri Light"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1F2C2D"/>
    <w:multiLevelType w:val="hybridMultilevel"/>
    <w:tmpl w:val="EFF4175A"/>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97F04"/>
    <w:multiLevelType w:val="hybridMultilevel"/>
    <w:tmpl w:val="552E2E8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6D4B9B"/>
    <w:multiLevelType w:val="hybridMultilevel"/>
    <w:tmpl w:val="7324C328"/>
    <w:lvl w:ilvl="0" w:tplc="2F6CA794">
      <w:start w:val="1"/>
      <w:numFmt w:val="decimal"/>
      <w:lvlText w:val="%1."/>
      <w:lvlJc w:val="left"/>
      <w:pPr>
        <w:ind w:left="720" w:hanging="360"/>
      </w:pPr>
      <w:rPr>
        <w:rFonts w:ascii="Calibri Light" w:hAnsi="Calibri Light" w:hint="default"/>
        <w:b w:val="0"/>
        <w:i w:val="0"/>
        <w:color w:val="auto"/>
        <w:sz w:val="24"/>
        <w:szCs w:val="24"/>
      </w:rPr>
    </w:lvl>
    <w:lvl w:ilvl="1" w:tplc="506C985E">
      <w:start w:val="1"/>
      <w:numFmt w:val="bullet"/>
      <w:lvlText w:val="o"/>
      <w:lvlJc w:val="left"/>
      <w:pPr>
        <w:ind w:left="1440" w:hanging="360"/>
      </w:pPr>
      <w:rPr>
        <w:rFonts w:ascii="Courier New" w:hAnsi="Courier New" w:hint="default"/>
      </w:rPr>
    </w:lvl>
    <w:lvl w:ilvl="2" w:tplc="C70A86C8">
      <w:start w:val="1"/>
      <w:numFmt w:val="bullet"/>
      <w:lvlText w:val=""/>
      <w:lvlJc w:val="left"/>
      <w:pPr>
        <w:ind w:left="2160" w:hanging="360"/>
      </w:pPr>
      <w:rPr>
        <w:rFonts w:ascii="Wingdings" w:hAnsi="Wingdings" w:hint="default"/>
      </w:rPr>
    </w:lvl>
    <w:lvl w:ilvl="3" w:tplc="11926E1C">
      <w:start w:val="1"/>
      <w:numFmt w:val="bullet"/>
      <w:lvlText w:val=""/>
      <w:lvlJc w:val="left"/>
      <w:pPr>
        <w:ind w:left="2880" w:hanging="360"/>
      </w:pPr>
      <w:rPr>
        <w:rFonts w:ascii="Symbol" w:hAnsi="Symbol" w:hint="default"/>
      </w:rPr>
    </w:lvl>
    <w:lvl w:ilvl="4" w:tplc="C32E2EE2">
      <w:start w:val="1"/>
      <w:numFmt w:val="bullet"/>
      <w:lvlText w:val="o"/>
      <w:lvlJc w:val="left"/>
      <w:pPr>
        <w:ind w:left="3600" w:hanging="360"/>
      </w:pPr>
      <w:rPr>
        <w:rFonts w:ascii="Courier New" w:hAnsi="Courier New" w:hint="default"/>
      </w:rPr>
    </w:lvl>
    <w:lvl w:ilvl="5" w:tplc="E98AD9F8">
      <w:start w:val="1"/>
      <w:numFmt w:val="bullet"/>
      <w:lvlText w:val=""/>
      <w:lvlJc w:val="left"/>
      <w:pPr>
        <w:ind w:left="4320" w:hanging="360"/>
      </w:pPr>
      <w:rPr>
        <w:rFonts w:ascii="Wingdings" w:hAnsi="Wingdings" w:hint="default"/>
      </w:rPr>
    </w:lvl>
    <w:lvl w:ilvl="6" w:tplc="B7F253DA">
      <w:start w:val="1"/>
      <w:numFmt w:val="bullet"/>
      <w:lvlText w:val=""/>
      <w:lvlJc w:val="left"/>
      <w:pPr>
        <w:ind w:left="5040" w:hanging="360"/>
      </w:pPr>
      <w:rPr>
        <w:rFonts w:ascii="Symbol" w:hAnsi="Symbol" w:hint="default"/>
      </w:rPr>
    </w:lvl>
    <w:lvl w:ilvl="7" w:tplc="3FB2ECD8">
      <w:start w:val="1"/>
      <w:numFmt w:val="bullet"/>
      <w:lvlText w:val="o"/>
      <w:lvlJc w:val="left"/>
      <w:pPr>
        <w:ind w:left="5760" w:hanging="360"/>
      </w:pPr>
      <w:rPr>
        <w:rFonts w:ascii="Courier New" w:hAnsi="Courier New" w:hint="default"/>
      </w:rPr>
    </w:lvl>
    <w:lvl w:ilvl="8" w:tplc="B6489C8A">
      <w:start w:val="1"/>
      <w:numFmt w:val="bullet"/>
      <w:lvlText w:val=""/>
      <w:lvlJc w:val="left"/>
      <w:pPr>
        <w:ind w:left="6480" w:hanging="360"/>
      </w:pPr>
      <w:rPr>
        <w:rFonts w:ascii="Wingdings" w:hAnsi="Wingdings" w:hint="default"/>
      </w:rPr>
    </w:lvl>
  </w:abstractNum>
  <w:abstractNum w:abstractNumId="5" w15:restartNumberingAfterBreak="0">
    <w:nsid w:val="18F474E0"/>
    <w:multiLevelType w:val="hybridMultilevel"/>
    <w:tmpl w:val="FF1C71FE"/>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D4A0A"/>
    <w:multiLevelType w:val="hybridMultilevel"/>
    <w:tmpl w:val="3FBA4F9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5D64A9"/>
    <w:multiLevelType w:val="hybridMultilevel"/>
    <w:tmpl w:val="C4BA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62F37"/>
    <w:multiLevelType w:val="hybridMultilevel"/>
    <w:tmpl w:val="05525E10"/>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A093F"/>
    <w:multiLevelType w:val="hybridMultilevel"/>
    <w:tmpl w:val="CCE2B156"/>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0A1757"/>
    <w:multiLevelType w:val="hybridMultilevel"/>
    <w:tmpl w:val="842E7F6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942981"/>
    <w:multiLevelType w:val="hybridMultilevel"/>
    <w:tmpl w:val="F9DE5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78096C"/>
    <w:multiLevelType w:val="hybridMultilevel"/>
    <w:tmpl w:val="61F463EE"/>
    <w:lvl w:ilvl="0" w:tplc="2F6CA794">
      <w:start w:val="1"/>
      <w:numFmt w:val="decimal"/>
      <w:lvlText w:val="%1."/>
      <w:lvlJc w:val="left"/>
      <w:pPr>
        <w:ind w:left="1080" w:hanging="360"/>
      </w:pPr>
      <w:rPr>
        <w:rFonts w:ascii="Calibri Light" w:hAnsi="Calibri Light" w:hint="default"/>
        <w:b w:val="0"/>
        <w:i w:val="0"/>
        <w:color w:val="auto"/>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AD1AE2"/>
    <w:multiLevelType w:val="hybridMultilevel"/>
    <w:tmpl w:val="19CCF8B2"/>
    <w:lvl w:ilvl="0" w:tplc="50C2B89C">
      <w:start w:val="1"/>
      <w:numFmt w:val="bullet"/>
      <w:lvlText w:val=""/>
      <w:lvlJc w:val="left"/>
      <w:pPr>
        <w:ind w:left="720" w:hanging="360"/>
      </w:pPr>
      <w:rPr>
        <w:rFonts w:ascii="Symbol" w:hAnsi="Symbol" w:hint="default"/>
      </w:rPr>
    </w:lvl>
    <w:lvl w:ilvl="1" w:tplc="C8B669A8">
      <w:start w:val="1"/>
      <w:numFmt w:val="bullet"/>
      <w:lvlText w:val="o"/>
      <w:lvlJc w:val="left"/>
      <w:pPr>
        <w:ind w:left="1440" w:hanging="360"/>
      </w:pPr>
      <w:rPr>
        <w:rFonts w:ascii="Courier New" w:hAnsi="Courier New" w:hint="default"/>
      </w:rPr>
    </w:lvl>
    <w:lvl w:ilvl="2" w:tplc="E960C670">
      <w:start w:val="1"/>
      <w:numFmt w:val="bullet"/>
      <w:lvlText w:val=""/>
      <w:lvlJc w:val="left"/>
      <w:pPr>
        <w:ind w:left="2160" w:hanging="360"/>
      </w:pPr>
      <w:rPr>
        <w:rFonts w:ascii="Wingdings" w:hAnsi="Wingdings" w:hint="default"/>
      </w:rPr>
    </w:lvl>
    <w:lvl w:ilvl="3" w:tplc="6F8A5AA6">
      <w:start w:val="1"/>
      <w:numFmt w:val="bullet"/>
      <w:lvlText w:val=""/>
      <w:lvlJc w:val="left"/>
      <w:pPr>
        <w:ind w:left="2880" w:hanging="360"/>
      </w:pPr>
      <w:rPr>
        <w:rFonts w:ascii="Symbol" w:hAnsi="Symbol" w:hint="default"/>
      </w:rPr>
    </w:lvl>
    <w:lvl w:ilvl="4" w:tplc="067038BA">
      <w:start w:val="1"/>
      <w:numFmt w:val="bullet"/>
      <w:lvlText w:val="o"/>
      <w:lvlJc w:val="left"/>
      <w:pPr>
        <w:ind w:left="3600" w:hanging="360"/>
      </w:pPr>
      <w:rPr>
        <w:rFonts w:ascii="Courier New" w:hAnsi="Courier New" w:hint="default"/>
      </w:rPr>
    </w:lvl>
    <w:lvl w:ilvl="5" w:tplc="B5E48512">
      <w:start w:val="1"/>
      <w:numFmt w:val="bullet"/>
      <w:lvlText w:val=""/>
      <w:lvlJc w:val="left"/>
      <w:pPr>
        <w:ind w:left="4320" w:hanging="360"/>
      </w:pPr>
      <w:rPr>
        <w:rFonts w:ascii="Wingdings" w:hAnsi="Wingdings" w:hint="default"/>
      </w:rPr>
    </w:lvl>
    <w:lvl w:ilvl="6" w:tplc="8FB212DC">
      <w:start w:val="1"/>
      <w:numFmt w:val="bullet"/>
      <w:lvlText w:val=""/>
      <w:lvlJc w:val="left"/>
      <w:pPr>
        <w:ind w:left="5040" w:hanging="360"/>
      </w:pPr>
      <w:rPr>
        <w:rFonts w:ascii="Symbol" w:hAnsi="Symbol" w:hint="default"/>
      </w:rPr>
    </w:lvl>
    <w:lvl w:ilvl="7" w:tplc="06AAF5AA">
      <w:start w:val="1"/>
      <w:numFmt w:val="bullet"/>
      <w:lvlText w:val="o"/>
      <w:lvlJc w:val="left"/>
      <w:pPr>
        <w:ind w:left="5760" w:hanging="360"/>
      </w:pPr>
      <w:rPr>
        <w:rFonts w:ascii="Courier New" w:hAnsi="Courier New" w:hint="default"/>
      </w:rPr>
    </w:lvl>
    <w:lvl w:ilvl="8" w:tplc="2A56703E">
      <w:start w:val="1"/>
      <w:numFmt w:val="bullet"/>
      <w:lvlText w:val=""/>
      <w:lvlJc w:val="left"/>
      <w:pPr>
        <w:ind w:left="6480" w:hanging="360"/>
      </w:pPr>
      <w:rPr>
        <w:rFonts w:ascii="Wingdings" w:hAnsi="Wingdings" w:hint="default"/>
      </w:rPr>
    </w:lvl>
  </w:abstractNum>
  <w:abstractNum w:abstractNumId="14" w15:restartNumberingAfterBreak="0">
    <w:nsid w:val="392C0886"/>
    <w:multiLevelType w:val="hybridMultilevel"/>
    <w:tmpl w:val="5240F57C"/>
    <w:lvl w:ilvl="0" w:tplc="53660A18">
      <w:start w:val="1"/>
      <w:numFmt w:val="decimal"/>
      <w:lvlText w:val="%1."/>
      <w:lvlJc w:val="left"/>
      <w:pPr>
        <w:ind w:left="720" w:hanging="360"/>
      </w:pPr>
    </w:lvl>
    <w:lvl w:ilvl="1" w:tplc="AEDCC69C">
      <w:start w:val="1"/>
      <w:numFmt w:val="lowerLetter"/>
      <w:lvlText w:val="%2."/>
      <w:lvlJc w:val="left"/>
      <w:pPr>
        <w:ind w:left="1440" w:hanging="360"/>
      </w:pPr>
    </w:lvl>
    <w:lvl w:ilvl="2" w:tplc="C924127C">
      <w:start w:val="1"/>
      <w:numFmt w:val="lowerRoman"/>
      <w:lvlText w:val="%3."/>
      <w:lvlJc w:val="right"/>
      <w:pPr>
        <w:ind w:left="2160" w:hanging="180"/>
      </w:pPr>
    </w:lvl>
    <w:lvl w:ilvl="3" w:tplc="66E83C3C">
      <w:start w:val="1"/>
      <w:numFmt w:val="decimal"/>
      <w:lvlText w:val="%4."/>
      <w:lvlJc w:val="left"/>
      <w:pPr>
        <w:ind w:left="2880" w:hanging="360"/>
      </w:pPr>
    </w:lvl>
    <w:lvl w:ilvl="4" w:tplc="1D5CC386">
      <w:start w:val="1"/>
      <w:numFmt w:val="lowerLetter"/>
      <w:lvlText w:val="%5."/>
      <w:lvlJc w:val="left"/>
      <w:pPr>
        <w:ind w:left="3600" w:hanging="360"/>
      </w:pPr>
    </w:lvl>
    <w:lvl w:ilvl="5" w:tplc="8FA676B2">
      <w:start w:val="1"/>
      <w:numFmt w:val="lowerRoman"/>
      <w:lvlText w:val="%6."/>
      <w:lvlJc w:val="right"/>
      <w:pPr>
        <w:ind w:left="4320" w:hanging="180"/>
      </w:pPr>
    </w:lvl>
    <w:lvl w:ilvl="6" w:tplc="15B4F720">
      <w:start w:val="1"/>
      <w:numFmt w:val="decimal"/>
      <w:lvlText w:val="%7."/>
      <w:lvlJc w:val="left"/>
      <w:pPr>
        <w:ind w:left="5040" w:hanging="360"/>
      </w:pPr>
    </w:lvl>
    <w:lvl w:ilvl="7" w:tplc="10F00A74">
      <w:start w:val="1"/>
      <w:numFmt w:val="lowerLetter"/>
      <w:lvlText w:val="%8."/>
      <w:lvlJc w:val="left"/>
      <w:pPr>
        <w:ind w:left="5760" w:hanging="360"/>
      </w:pPr>
    </w:lvl>
    <w:lvl w:ilvl="8" w:tplc="82428910">
      <w:start w:val="1"/>
      <w:numFmt w:val="lowerRoman"/>
      <w:lvlText w:val="%9."/>
      <w:lvlJc w:val="right"/>
      <w:pPr>
        <w:ind w:left="6480" w:hanging="180"/>
      </w:pPr>
    </w:lvl>
  </w:abstractNum>
  <w:abstractNum w:abstractNumId="15" w15:restartNumberingAfterBreak="0">
    <w:nsid w:val="3BB422BF"/>
    <w:multiLevelType w:val="hybridMultilevel"/>
    <w:tmpl w:val="890AC376"/>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C925E1"/>
    <w:multiLevelType w:val="hybridMultilevel"/>
    <w:tmpl w:val="F194522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14400A"/>
    <w:multiLevelType w:val="hybridMultilevel"/>
    <w:tmpl w:val="10CE03A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795910"/>
    <w:multiLevelType w:val="hybridMultilevel"/>
    <w:tmpl w:val="060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F259C3"/>
    <w:multiLevelType w:val="hybridMultilevel"/>
    <w:tmpl w:val="CDDE3A28"/>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551B6B"/>
    <w:multiLevelType w:val="hybridMultilevel"/>
    <w:tmpl w:val="1346A506"/>
    <w:lvl w:ilvl="0" w:tplc="A9D616C6">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7D1D51"/>
    <w:multiLevelType w:val="hybridMultilevel"/>
    <w:tmpl w:val="6CF4245A"/>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1B572A"/>
    <w:multiLevelType w:val="hybridMultilevel"/>
    <w:tmpl w:val="64EE8C2E"/>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41F2C"/>
    <w:multiLevelType w:val="hybridMultilevel"/>
    <w:tmpl w:val="0C3CC648"/>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D52EC6"/>
    <w:multiLevelType w:val="hybridMultilevel"/>
    <w:tmpl w:val="2E90D6A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5E026B"/>
    <w:multiLevelType w:val="hybridMultilevel"/>
    <w:tmpl w:val="DE90E338"/>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91055"/>
    <w:multiLevelType w:val="hybridMultilevel"/>
    <w:tmpl w:val="79622E36"/>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C6877"/>
    <w:multiLevelType w:val="hybridMultilevel"/>
    <w:tmpl w:val="B7E2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2013F"/>
    <w:multiLevelType w:val="hybridMultilevel"/>
    <w:tmpl w:val="FBD4906C"/>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9F608F"/>
    <w:multiLevelType w:val="hybridMultilevel"/>
    <w:tmpl w:val="11565FBA"/>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A21815"/>
    <w:multiLevelType w:val="hybridMultilevel"/>
    <w:tmpl w:val="17D82004"/>
    <w:lvl w:ilvl="0" w:tplc="2F6CA794">
      <w:start w:val="1"/>
      <w:numFmt w:val="decimal"/>
      <w:lvlText w:val="%1."/>
      <w:lvlJc w:val="left"/>
      <w:pPr>
        <w:ind w:left="720" w:hanging="360"/>
      </w:pPr>
      <w:rPr>
        <w:rFonts w:ascii="Calibri Light" w:hAnsi="Calibri Light" w:hint="default"/>
        <w:b w:val="0"/>
        <w:i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8961E1"/>
    <w:multiLevelType w:val="hybridMultilevel"/>
    <w:tmpl w:val="9EDCE8F0"/>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105250"/>
    <w:multiLevelType w:val="hybridMultilevel"/>
    <w:tmpl w:val="14123A7E"/>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802403"/>
    <w:multiLevelType w:val="hybridMultilevel"/>
    <w:tmpl w:val="70224CE4"/>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92CB5"/>
    <w:multiLevelType w:val="hybridMultilevel"/>
    <w:tmpl w:val="D59AECE8"/>
    <w:lvl w:ilvl="0" w:tplc="2BACC85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9B7CEA"/>
    <w:multiLevelType w:val="hybridMultilevel"/>
    <w:tmpl w:val="E162083A"/>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2B5A88"/>
    <w:multiLevelType w:val="hybridMultilevel"/>
    <w:tmpl w:val="B02C1148"/>
    <w:lvl w:ilvl="0" w:tplc="2F6CA794">
      <w:start w:val="1"/>
      <w:numFmt w:val="decimal"/>
      <w:lvlText w:val="%1."/>
      <w:lvlJc w:val="left"/>
      <w:pPr>
        <w:ind w:left="720" w:hanging="360"/>
      </w:pPr>
      <w:rPr>
        <w:rFonts w:ascii="Calibri Light" w:hAnsi="Calibri Light"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BA7086"/>
    <w:multiLevelType w:val="hybridMultilevel"/>
    <w:tmpl w:val="1E82C4EC"/>
    <w:lvl w:ilvl="0" w:tplc="2F6CA794">
      <w:start w:val="1"/>
      <w:numFmt w:val="decimal"/>
      <w:lvlText w:val="%1."/>
      <w:lvlJc w:val="left"/>
      <w:pPr>
        <w:ind w:left="1080" w:hanging="360"/>
      </w:pPr>
      <w:rPr>
        <w:rFonts w:ascii="Calibri Light" w:hAnsi="Calibri Light" w:hint="default"/>
        <w:b w:val="0"/>
        <w:i w:val="0"/>
        <w:color w:val="auto"/>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3"/>
  </w:num>
  <w:num w:numId="2">
    <w:abstractNumId w:val="14"/>
  </w:num>
  <w:num w:numId="3">
    <w:abstractNumId w:val="19"/>
  </w:num>
  <w:num w:numId="4">
    <w:abstractNumId w:val="2"/>
  </w:num>
  <w:num w:numId="5">
    <w:abstractNumId w:val="4"/>
  </w:num>
  <w:num w:numId="6">
    <w:abstractNumId w:val="11"/>
  </w:num>
  <w:num w:numId="7">
    <w:abstractNumId w:val="16"/>
  </w:num>
  <w:num w:numId="8">
    <w:abstractNumId w:val="37"/>
  </w:num>
  <w:num w:numId="9">
    <w:abstractNumId w:val="32"/>
  </w:num>
  <w:num w:numId="10">
    <w:abstractNumId w:val="34"/>
  </w:num>
  <w:num w:numId="11">
    <w:abstractNumId w:val="10"/>
  </w:num>
  <w:num w:numId="12">
    <w:abstractNumId w:val="23"/>
  </w:num>
  <w:num w:numId="13">
    <w:abstractNumId w:val="12"/>
  </w:num>
  <w:num w:numId="14">
    <w:abstractNumId w:val="29"/>
  </w:num>
  <w:num w:numId="15">
    <w:abstractNumId w:val="3"/>
  </w:num>
  <w:num w:numId="16">
    <w:abstractNumId w:val="8"/>
  </w:num>
  <w:num w:numId="17">
    <w:abstractNumId w:val="36"/>
  </w:num>
  <w:num w:numId="18">
    <w:abstractNumId w:val="33"/>
  </w:num>
  <w:num w:numId="19">
    <w:abstractNumId w:val="22"/>
  </w:num>
  <w:num w:numId="20">
    <w:abstractNumId w:val="26"/>
  </w:num>
  <w:num w:numId="21">
    <w:abstractNumId w:val="38"/>
  </w:num>
  <w:num w:numId="22">
    <w:abstractNumId w:val="9"/>
  </w:num>
  <w:num w:numId="23">
    <w:abstractNumId w:val="20"/>
  </w:num>
  <w:num w:numId="24">
    <w:abstractNumId w:val="35"/>
  </w:num>
  <w:num w:numId="25">
    <w:abstractNumId w:val="5"/>
  </w:num>
  <w:num w:numId="26">
    <w:abstractNumId w:val="25"/>
  </w:num>
  <w:num w:numId="27">
    <w:abstractNumId w:val="31"/>
  </w:num>
  <w:num w:numId="28">
    <w:abstractNumId w:val="21"/>
  </w:num>
  <w:num w:numId="29">
    <w:abstractNumId w:val="6"/>
  </w:num>
  <w:num w:numId="30">
    <w:abstractNumId w:val="1"/>
  </w:num>
  <w:num w:numId="31">
    <w:abstractNumId w:val="24"/>
  </w:num>
  <w:num w:numId="32">
    <w:abstractNumId w:val="15"/>
  </w:num>
  <w:num w:numId="33">
    <w:abstractNumId w:val="0"/>
  </w:num>
  <w:num w:numId="34">
    <w:abstractNumId w:val="30"/>
  </w:num>
  <w:num w:numId="35">
    <w:abstractNumId w:val="27"/>
  </w:num>
  <w:num w:numId="36">
    <w:abstractNumId w:val="17"/>
  </w:num>
  <w:num w:numId="37">
    <w:abstractNumId w:val="7"/>
  </w:num>
  <w:num w:numId="38">
    <w:abstractNumId w:val="28"/>
  </w:num>
  <w:num w:numId="39">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S3MLEwMzI1BkIzCyUdpeDU4uLM/DyQAsNaANz9Cf4sAAAA"/>
  </w:docVars>
  <w:rsids>
    <w:rsidRoot w:val="1BE84CC0"/>
    <w:rsid w:val="00014D1B"/>
    <w:rsid w:val="00015F4E"/>
    <w:rsid w:val="0002034C"/>
    <w:rsid w:val="00022832"/>
    <w:rsid w:val="00023153"/>
    <w:rsid w:val="00027A71"/>
    <w:rsid w:val="00032CF4"/>
    <w:rsid w:val="00056477"/>
    <w:rsid w:val="0006018A"/>
    <w:rsid w:val="00070DDF"/>
    <w:rsid w:val="00082386"/>
    <w:rsid w:val="00096694"/>
    <w:rsid w:val="000A2690"/>
    <w:rsid w:val="000C7DA7"/>
    <w:rsid w:val="000E1C33"/>
    <w:rsid w:val="000F05B4"/>
    <w:rsid w:val="0010533D"/>
    <w:rsid w:val="00110EC6"/>
    <w:rsid w:val="00110EE7"/>
    <w:rsid w:val="00124165"/>
    <w:rsid w:val="0013116C"/>
    <w:rsid w:val="001344D4"/>
    <w:rsid w:val="00140BB7"/>
    <w:rsid w:val="00143489"/>
    <w:rsid w:val="00187C3E"/>
    <w:rsid w:val="0019210D"/>
    <w:rsid w:val="001B163E"/>
    <w:rsid w:val="001B4284"/>
    <w:rsid w:val="001F6E24"/>
    <w:rsid w:val="002044EE"/>
    <w:rsid w:val="0020500D"/>
    <w:rsid w:val="002134B2"/>
    <w:rsid w:val="002451B8"/>
    <w:rsid w:val="00247C5B"/>
    <w:rsid w:val="00261A3D"/>
    <w:rsid w:val="002723B3"/>
    <w:rsid w:val="002726BD"/>
    <w:rsid w:val="00284A03"/>
    <w:rsid w:val="00286CDE"/>
    <w:rsid w:val="00291642"/>
    <w:rsid w:val="002C5AE1"/>
    <w:rsid w:val="002E2592"/>
    <w:rsid w:val="002F142D"/>
    <w:rsid w:val="002F5C40"/>
    <w:rsid w:val="00322BF0"/>
    <w:rsid w:val="00344F5B"/>
    <w:rsid w:val="00354DD0"/>
    <w:rsid w:val="003736D8"/>
    <w:rsid w:val="0037556E"/>
    <w:rsid w:val="003929A8"/>
    <w:rsid w:val="003B11D4"/>
    <w:rsid w:val="003B78D3"/>
    <w:rsid w:val="003C12C5"/>
    <w:rsid w:val="003F03C4"/>
    <w:rsid w:val="003F6E3A"/>
    <w:rsid w:val="00403A22"/>
    <w:rsid w:val="004261D1"/>
    <w:rsid w:val="00427BDB"/>
    <w:rsid w:val="00471AA1"/>
    <w:rsid w:val="00473831"/>
    <w:rsid w:val="004751C0"/>
    <w:rsid w:val="004946A4"/>
    <w:rsid w:val="004A1A7A"/>
    <w:rsid w:val="004B014A"/>
    <w:rsid w:val="004B0F92"/>
    <w:rsid w:val="004E5E54"/>
    <w:rsid w:val="004E6103"/>
    <w:rsid w:val="00526836"/>
    <w:rsid w:val="00536B8F"/>
    <w:rsid w:val="00536F05"/>
    <w:rsid w:val="0055216A"/>
    <w:rsid w:val="00582F6A"/>
    <w:rsid w:val="005A25D1"/>
    <w:rsid w:val="005D1EFF"/>
    <w:rsid w:val="005F74B2"/>
    <w:rsid w:val="006042B5"/>
    <w:rsid w:val="006313D5"/>
    <w:rsid w:val="006550F8"/>
    <w:rsid w:val="006A6F1D"/>
    <w:rsid w:val="006C0CDB"/>
    <w:rsid w:val="006D421A"/>
    <w:rsid w:val="006E2DBE"/>
    <w:rsid w:val="007006B7"/>
    <w:rsid w:val="00707437"/>
    <w:rsid w:val="00721340"/>
    <w:rsid w:val="00744E2F"/>
    <w:rsid w:val="00765A95"/>
    <w:rsid w:val="00771A95"/>
    <w:rsid w:val="0077475D"/>
    <w:rsid w:val="0077530A"/>
    <w:rsid w:val="007A16CA"/>
    <w:rsid w:val="007A32BD"/>
    <w:rsid w:val="007B6CC1"/>
    <w:rsid w:val="007D2381"/>
    <w:rsid w:val="007E7859"/>
    <w:rsid w:val="007E79D8"/>
    <w:rsid w:val="00812EFB"/>
    <w:rsid w:val="0083185C"/>
    <w:rsid w:val="00835ED5"/>
    <w:rsid w:val="008369EF"/>
    <w:rsid w:val="00864552"/>
    <w:rsid w:val="00872DEA"/>
    <w:rsid w:val="00876980"/>
    <w:rsid w:val="00892DF8"/>
    <w:rsid w:val="00896D15"/>
    <w:rsid w:val="008F6CA4"/>
    <w:rsid w:val="00906D95"/>
    <w:rsid w:val="00917630"/>
    <w:rsid w:val="00930D47"/>
    <w:rsid w:val="00934AEE"/>
    <w:rsid w:val="00975924"/>
    <w:rsid w:val="009A51DD"/>
    <w:rsid w:val="009B0824"/>
    <w:rsid w:val="009B6430"/>
    <w:rsid w:val="00A0305B"/>
    <w:rsid w:val="00A40362"/>
    <w:rsid w:val="00A45E3D"/>
    <w:rsid w:val="00A52E3D"/>
    <w:rsid w:val="00A64062"/>
    <w:rsid w:val="00A71E62"/>
    <w:rsid w:val="00A75EC4"/>
    <w:rsid w:val="00AA155A"/>
    <w:rsid w:val="00AB75E9"/>
    <w:rsid w:val="00AE23CE"/>
    <w:rsid w:val="00B03B77"/>
    <w:rsid w:val="00B0539F"/>
    <w:rsid w:val="00B50AB5"/>
    <w:rsid w:val="00B547A7"/>
    <w:rsid w:val="00B640CE"/>
    <w:rsid w:val="00BA6821"/>
    <w:rsid w:val="00BC293C"/>
    <w:rsid w:val="00BD313E"/>
    <w:rsid w:val="00BE6C6E"/>
    <w:rsid w:val="00C1589C"/>
    <w:rsid w:val="00C1768B"/>
    <w:rsid w:val="00C24344"/>
    <w:rsid w:val="00C279B8"/>
    <w:rsid w:val="00C419D8"/>
    <w:rsid w:val="00C56F7E"/>
    <w:rsid w:val="00C6696A"/>
    <w:rsid w:val="00C758B4"/>
    <w:rsid w:val="00C8222E"/>
    <w:rsid w:val="00C860C4"/>
    <w:rsid w:val="00C93BA2"/>
    <w:rsid w:val="00CA46D0"/>
    <w:rsid w:val="00CA6A70"/>
    <w:rsid w:val="00CB204E"/>
    <w:rsid w:val="00CB51E7"/>
    <w:rsid w:val="00CC28ED"/>
    <w:rsid w:val="00CE2DCC"/>
    <w:rsid w:val="00CF071D"/>
    <w:rsid w:val="00CF4E74"/>
    <w:rsid w:val="00D14957"/>
    <w:rsid w:val="00D254BD"/>
    <w:rsid w:val="00D61CCA"/>
    <w:rsid w:val="00D86971"/>
    <w:rsid w:val="00D93BCF"/>
    <w:rsid w:val="00DA53BF"/>
    <w:rsid w:val="00DC16C4"/>
    <w:rsid w:val="00DE1DCB"/>
    <w:rsid w:val="00DE43B0"/>
    <w:rsid w:val="00E02EE1"/>
    <w:rsid w:val="00E62714"/>
    <w:rsid w:val="00E643D9"/>
    <w:rsid w:val="00E8528D"/>
    <w:rsid w:val="00EC5BFE"/>
    <w:rsid w:val="00EE0A41"/>
    <w:rsid w:val="00EF7DEA"/>
    <w:rsid w:val="00F25444"/>
    <w:rsid w:val="00F45750"/>
    <w:rsid w:val="00F50DAE"/>
    <w:rsid w:val="00FB16D8"/>
    <w:rsid w:val="00FB4BD8"/>
    <w:rsid w:val="00FD0D3A"/>
    <w:rsid w:val="01C71B7D"/>
    <w:rsid w:val="0251F31C"/>
    <w:rsid w:val="02B0DA53"/>
    <w:rsid w:val="02C88449"/>
    <w:rsid w:val="0305F9B3"/>
    <w:rsid w:val="03519FE4"/>
    <w:rsid w:val="035957FB"/>
    <w:rsid w:val="03B459B6"/>
    <w:rsid w:val="040E3F8A"/>
    <w:rsid w:val="04D97049"/>
    <w:rsid w:val="05C7D667"/>
    <w:rsid w:val="05D8ECCC"/>
    <w:rsid w:val="05DAA169"/>
    <w:rsid w:val="0600250B"/>
    <w:rsid w:val="063B7170"/>
    <w:rsid w:val="067540AA"/>
    <w:rsid w:val="0748EAD4"/>
    <w:rsid w:val="0810E9CD"/>
    <w:rsid w:val="093F74EF"/>
    <w:rsid w:val="09A8FAE2"/>
    <w:rsid w:val="09E2B398"/>
    <w:rsid w:val="0A7E9358"/>
    <w:rsid w:val="0C297BEA"/>
    <w:rsid w:val="0D49D562"/>
    <w:rsid w:val="0E3C2715"/>
    <w:rsid w:val="0E77D611"/>
    <w:rsid w:val="0E802B51"/>
    <w:rsid w:val="0ECDF355"/>
    <w:rsid w:val="0F52047B"/>
    <w:rsid w:val="1003F7AD"/>
    <w:rsid w:val="10D1EF44"/>
    <w:rsid w:val="11EE386C"/>
    <w:rsid w:val="122F3F94"/>
    <w:rsid w:val="13CB95E5"/>
    <w:rsid w:val="13E4414B"/>
    <w:rsid w:val="15664DE1"/>
    <w:rsid w:val="16B508F2"/>
    <w:rsid w:val="16E98B70"/>
    <w:rsid w:val="17873B30"/>
    <w:rsid w:val="1829D01E"/>
    <w:rsid w:val="188CB3CC"/>
    <w:rsid w:val="18D82E86"/>
    <w:rsid w:val="19A47DBA"/>
    <w:rsid w:val="1A3D7F8D"/>
    <w:rsid w:val="1A7E3A2C"/>
    <w:rsid w:val="1AA51EAC"/>
    <w:rsid w:val="1AF27B64"/>
    <w:rsid w:val="1B0BA3C1"/>
    <w:rsid w:val="1B6E1830"/>
    <w:rsid w:val="1BA9D4A0"/>
    <w:rsid w:val="1BD49800"/>
    <w:rsid w:val="1BE84CC0"/>
    <w:rsid w:val="1C8E4BC5"/>
    <w:rsid w:val="1D1DEC3D"/>
    <w:rsid w:val="1E71317E"/>
    <w:rsid w:val="1F8A120E"/>
    <w:rsid w:val="2008E0A0"/>
    <w:rsid w:val="2032877D"/>
    <w:rsid w:val="20A334F9"/>
    <w:rsid w:val="20F18447"/>
    <w:rsid w:val="21549D64"/>
    <w:rsid w:val="21BCB506"/>
    <w:rsid w:val="21CC3532"/>
    <w:rsid w:val="22C1B2D0"/>
    <w:rsid w:val="22E1EDCC"/>
    <w:rsid w:val="24216CF2"/>
    <w:rsid w:val="2430E2C0"/>
    <w:rsid w:val="24D4643D"/>
    <w:rsid w:val="24DC51C3"/>
    <w:rsid w:val="2628CAB2"/>
    <w:rsid w:val="267FD146"/>
    <w:rsid w:val="26B3FC9D"/>
    <w:rsid w:val="27FB17C6"/>
    <w:rsid w:val="283372DB"/>
    <w:rsid w:val="2867D103"/>
    <w:rsid w:val="293C0013"/>
    <w:rsid w:val="299F3698"/>
    <w:rsid w:val="29AE9E8E"/>
    <w:rsid w:val="2A4969D2"/>
    <w:rsid w:val="2B5C574B"/>
    <w:rsid w:val="2B63974C"/>
    <w:rsid w:val="2B8522A4"/>
    <w:rsid w:val="2C1E4057"/>
    <w:rsid w:val="2C6503F5"/>
    <w:rsid w:val="2C8C466A"/>
    <w:rsid w:val="2CE763A8"/>
    <w:rsid w:val="2D1F921C"/>
    <w:rsid w:val="2DCAA8BE"/>
    <w:rsid w:val="2DFDAB9D"/>
    <w:rsid w:val="2E49BBB6"/>
    <w:rsid w:val="2EE2CCED"/>
    <w:rsid w:val="2F89D002"/>
    <w:rsid w:val="2F8DE38F"/>
    <w:rsid w:val="2FD5C7B9"/>
    <w:rsid w:val="302B027A"/>
    <w:rsid w:val="30449063"/>
    <w:rsid w:val="305D7DE9"/>
    <w:rsid w:val="3062CC69"/>
    <w:rsid w:val="31BAD4CB"/>
    <w:rsid w:val="32A7AF61"/>
    <w:rsid w:val="3356A52C"/>
    <w:rsid w:val="35894824"/>
    <w:rsid w:val="35A34467"/>
    <w:rsid w:val="362E2503"/>
    <w:rsid w:val="37A18937"/>
    <w:rsid w:val="37BF2F2F"/>
    <w:rsid w:val="37EF0FBC"/>
    <w:rsid w:val="38773CED"/>
    <w:rsid w:val="38AAAF90"/>
    <w:rsid w:val="392ABD15"/>
    <w:rsid w:val="3A9893C0"/>
    <w:rsid w:val="3AB46D64"/>
    <w:rsid w:val="3AE0596D"/>
    <w:rsid w:val="3C6239E2"/>
    <w:rsid w:val="3D797D19"/>
    <w:rsid w:val="3DA9AB95"/>
    <w:rsid w:val="3E4D1669"/>
    <w:rsid w:val="3F178E87"/>
    <w:rsid w:val="3F17F394"/>
    <w:rsid w:val="403BF162"/>
    <w:rsid w:val="406C00AE"/>
    <w:rsid w:val="407073D8"/>
    <w:rsid w:val="40C79F76"/>
    <w:rsid w:val="40D4BC37"/>
    <w:rsid w:val="410E2BD5"/>
    <w:rsid w:val="4174E97E"/>
    <w:rsid w:val="41A23064"/>
    <w:rsid w:val="42A888A3"/>
    <w:rsid w:val="42E4E30D"/>
    <w:rsid w:val="43739224"/>
    <w:rsid w:val="43933E9E"/>
    <w:rsid w:val="44169139"/>
    <w:rsid w:val="44489394"/>
    <w:rsid w:val="44C296FC"/>
    <w:rsid w:val="45A82D5A"/>
    <w:rsid w:val="45C41C1D"/>
    <w:rsid w:val="481BF50E"/>
    <w:rsid w:val="4849D4B2"/>
    <w:rsid w:val="48AA5390"/>
    <w:rsid w:val="48C5D1D9"/>
    <w:rsid w:val="49343E78"/>
    <w:rsid w:val="49344760"/>
    <w:rsid w:val="4AC6C31A"/>
    <w:rsid w:val="4AD95D83"/>
    <w:rsid w:val="4B9CC29D"/>
    <w:rsid w:val="4BBD4109"/>
    <w:rsid w:val="4BDD4E3F"/>
    <w:rsid w:val="4C1A54BE"/>
    <w:rsid w:val="4C36428C"/>
    <w:rsid w:val="4C41C872"/>
    <w:rsid w:val="4CA58458"/>
    <w:rsid w:val="4CFCDF7E"/>
    <w:rsid w:val="4D174CC9"/>
    <w:rsid w:val="4D853B59"/>
    <w:rsid w:val="4EEE00B8"/>
    <w:rsid w:val="4F35135D"/>
    <w:rsid w:val="514B874D"/>
    <w:rsid w:val="51BDAAEC"/>
    <w:rsid w:val="530386B6"/>
    <w:rsid w:val="540C1AED"/>
    <w:rsid w:val="541CA2A8"/>
    <w:rsid w:val="54E00F92"/>
    <w:rsid w:val="555B6B0E"/>
    <w:rsid w:val="558B2C84"/>
    <w:rsid w:val="5656F648"/>
    <w:rsid w:val="56D0C087"/>
    <w:rsid w:val="5740F928"/>
    <w:rsid w:val="57BDCF7C"/>
    <w:rsid w:val="57D6F7D9"/>
    <w:rsid w:val="5887C6B3"/>
    <w:rsid w:val="598CC47D"/>
    <w:rsid w:val="59DE1882"/>
    <w:rsid w:val="5A134231"/>
    <w:rsid w:val="5A566E4B"/>
    <w:rsid w:val="5A76A1AC"/>
    <w:rsid w:val="5AFF1B37"/>
    <w:rsid w:val="5C2A249F"/>
    <w:rsid w:val="5C666D0D"/>
    <w:rsid w:val="5E0B32CA"/>
    <w:rsid w:val="5E53FB97"/>
    <w:rsid w:val="5EF70837"/>
    <w:rsid w:val="5F3439D9"/>
    <w:rsid w:val="5FC8E161"/>
    <w:rsid w:val="60EFFACA"/>
    <w:rsid w:val="626B171C"/>
    <w:rsid w:val="62F845A9"/>
    <w:rsid w:val="64A003B7"/>
    <w:rsid w:val="652C6780"/>
    <w:rsid w:val="656CB80D"/>
    <w:rsid w:val="65B2F01A"/>
    <w:rsid w:val="661E5A30"/>
    <w:rsid w:val="6657DAC7"/>
    <w:rsid w:val="668D22DA"/>
    <w:rsid w:val="67F6044D"/>
    <w:rsid w:val="687BF8BA"/>
    <w:rsid w:val="6AA6D70A"/>
    <w:rsid w:val="6AE5FE2E"/>
    <w:rsid w:val="6AE9ACDD"/>
    <w:rsid w:val="6B050049"/>
    <w:rsid w:val="6B4F5C07"/>
    <w:rsid w:val="6B5F2919"/>
    <w:rsid w:val="6B8280A7"/>
    <w:rsid w:val="6C019228"/>
    <w:rsid w:val="6C35D539"/>
    <w:rsid w:val="6DAA6CE5"/>
    <w:rsid w:val="6DCA48A9"/>
    <w:rsid w:val="6DD881C3"/>
    <w:rsid w:val="6DDD42A9"/>
    <w:rsid w:val="6DDDB5D3"/>
    <w:rsid w:val="6E4B2250"/>
    <w:rsid w:val="6ED277A5"/>
    <w:rsid w:val="6F384353"/>
    <w:rsid w:val="6F8BFA93"/>
    <w:rsid w:val="7000EEF4"/>
    <w:rsid w:val="7022CD2A"/>
    <w:rsid w:val="706D18F4"/>
    <w:rsid w:val="70807E46"/>
    <w:rsid w:val="7168612D"/>
    <w:rsid w:val="7168886B"/>
    <w:rsid w:val="71A6C0C4"/>
    <w:rsid w:val="71BFC566"/>
    <w:rsid w:val="72CD2595"/>
    <w:rsid w:val="739F1027"/>
    <w:rsid w:val="73D2F93B"/>
    <w:rsid w:val="74152D02"/>
    <w:rsid w:val="7432488D"/>
    <w:rsid w:val="744734E0"/>
    <w:rsid w:val="74B5112F"/>
    <w:rsid w:val="74C2BF68"/>
    <w:rsid w:val="74D30A34"/>
    <w:rsid w:val="74E1434E"/>
    <w:rsid w:val="76E7D135"/>
    <w:rsid w:val="779778EB"/>
    <w:rsid w:val="7804DFBB"/>
    <w:rsid w:val="78685DCD"/>
    <w:rsid w:val="78AA4F7B"/>
    <w:rsid w:val="7A1237DE"/>
    <w:rsid w:val="7B6EBE32"/>
    <w:rsid w:val="7BA091F7"/>
    <w:rsid w:val="7CFCDB69"/>
    <w:rsid w:val="7D3C6258"/>
    <w:rsid w:val="7D806496"/>
    <w:rsid w:val="7F10B76A"/>
    <w:rsid w:val="7F3CA304"/>
    <w:rsid w:val="7FB46C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4CC0"/>
  <w15:chartTrackingRefBased/>
  <w15:docId w15:val="{BD5620D5-17D6-43C2-8F4C-CFA56E14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3B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6F1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A6F1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6A6F1D"/>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F7DEA"/>
    <w:rPr>
      <w:color w:val="954F72" w:themeColor="followedHyperlink"/>
      <w:u w:val="single"/>
    </w:rPr>
  </w:style>
  <w:style w:type="character" w:customStyle="1" w:styleId="UnresolvedMention">
    <w:name w:val="Unresolved Mention"/>
    <w:basedOn w:val="DefaultParagraphFont"/>
    <w:uiPriority w:val="99"/>
    <w:semiHidden/>
    <w:unhideWhenUsed/>
    <w:rsid w:val="00C56F7E"/>
    <w:rPr>
      <w:color w:val="605E5C"/>
      <w:shd w:val="clear" w:color="auto" w:fill="E1DFDD"/>
    </w:rPr>
  </w:style>
  <w:style w:type="paragraph" w:styleId="NormalWeb">
    <w:name w:val="Normal (Web)"/>
    <w:basedOn w:val="Normal"/>
    <w:uiPriority w:val="99"/>
    <w:unhideWhenUsed/>
    <w:rsid w:val="007A3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A6F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A6F1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6A6F1D"/>
    <w:rPr>
      <w:rFonts w:asciiTheme="majorHAnsi" w:eastAsiaTheme="majorEastAsia" w:hAnsiTheme="majorHAnsi" w:cstheme="majorBidi"/>
      <w:i/>
      <w:iCs/>
      <w:color w:val="2F5496" w:themeColor="accent1" w:themeShade="BF"/>
      <w:sz w:val="24"/>
      <w:szCs w:val="24"/>
    </w:rPr>
  </w:style>
  <w:style w:type="paragraph" w:styleId="CommentText">
    <w:name w:val="annotation text"/>
    <w:basedOn w:val="Normal"/>
    <w:link w:val="CommentTextChar"/>
    <w:unhideWhenUsed/>
    <w:rsid w:val="006A6F1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A6F1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A6F1D"/>
    <w:rPr>
      <w:sz w:val="18"/>
      <w:szCs w:val="18"/>
    </w:rPr>
  </w:style>
  <w:style w:type="paragraph" w:customStyle="1" w:styleId="Default">
    <w:name w:val="Default"/>
    <w:rsid w:val="006A6F1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WPNormal">
    <w:name w:val="WP_Normal"/>
    <w:basedOn w:val="Normal"/>
    <w:rsid w:val="006A6F1D"/>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table" w:customStyle="1" w:styleId="TableGrid0">
    <w:name w:val="TableGrid"/>
    <w:rsid w:val="006A6F1D"/>
    <w:pPr>
      <w:spacing w:after="0" w:line="240" w:lineRule="auto"/>
    </w:pPr>
    <w:rPr>
      <w:rFonts w:eastAsiaTheme="minorEastAsia"/>
    </w:rPr>
    <w:tblPr>
      <w:tblCellMar>
        <w:top w:w="0" w:type="dxa"/>
        <w:left w:w="0" w:type="dxa"/>
        <w:bottom w:w="0" w:type="dxa"/>
        <w:right w:w="0" w:type="dxa"/>
      </w:tblCellMar>
    </w:tblPr>
  </w:style>
  <w:style w:type="paragraph" w:customStyle="1" w:styleId="xmsonormal">
    <w:name w:val="xmsonormal"/>
    <w:basedOn w:val="Normal"/>
    <w:rsid w:val="006A6F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
    <w:name w:val="Mention"/>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E643D9"/>
  </w:style>
  <w:style w:type="paragraph" w:customStyle="1" w:styleId="paragraph">
    <w:name w:val="paragraph"/>
    <w:basedOn w:val="Normal"/>
    <w:rsid w:val="00B64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640CE"/>
  </w:style>
  <w:style w:type="character" w:customStyle="1" w:styleId="eop">
    <w:name w:val="eop"/>
    <w:basedOn w:val="DefaultParagraphFont"/>
    <w:rsid w:val="00B640CE"/>
  </w:style>
  <w:style w:type="character" w:styleId="Emphasis">
    <w:name w:val="Emphasis"/>
    <w:basedOn w:val="DefaultParagraphFont"/>
    <w:uiPriority w:val="20"/>
    <w:qFormat/>
    <w:rsid w:val="00187C3E"/>
    <w:rPr>
      <w:i/>
      <w:iCs/>
    </w:rPr>
  </w:style>
  <w:style w:type="paragraph" w:styleId="Header">
    <w:name w:val="header"/>
    <w:basedOn w:val="Normal"/>
    <w:link w:val="HeaderChar"/>
    <w:uiPriority w:val="99"/>
    <w:unhideWhenUsed/>
    <w:rsid w:val="00110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EC6"/>
  </w:style>
  <w:style w:type="paragraph" w:styleId="Footer">
    <w:name w:val="footer"/>
    <w:basedOn w:val="Normal"/>
    <w:link w:val="FooterChar"/>
    <w:uiPriority w:val="99"/>
    <w:unhideWhenUsed/>
    <w:rsid w:val="00110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EC6"/>
  </w:style>
  <w:style w:type="table" w:styleId="TableGridLight">
    <w:name w:val="Grid Table Light"/>
    <w:basedOn w:val="TableNormal"/>
    <w:uiPriority w:val="40"/>
    <w:rsid w:val="00B03B7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7E7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3B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002">
      <w:bodyDiv w:val="1"/>
      <w:marLeft w:val="0"/>
      <w:marRight w:val="0"/>
      <w:marTop w:val="0"/>
      <w:marBottom w:val="0"/>
      <w:divBdr>
        <w:top w:val="none" w:sz="0" w:space="0" w:color="auto"/>
        <w:left w:val="none" w:sz="0" w:space="0" w:color="auto"/>
        <w:bottom w:val="none" w:sz="0" w:space="0" w:color="auto"/>
        <w:right w:val="none" w:sz="0" w:space="0" w:color="auto"/>
      </w:divBdr>
    </w:div>
    <w:div w:id="100341285">
      <w:bodyDiv w:val="1"/>
      <w:marLeft w:val="0"/>
      <w:marRight w:val="0"/>
      <w:marTop w:val="0"/>
      <w:marBottom w:val="0"/>
      <w:divBdr>
        <w:top w:val="none" w:sz="0" w:space="0" w:color="auto"/>
        <w:left w:val="none" w:sz="0" w:space="0" w:color="auto"/>
        <w:bottom w:val="none" w:sz="0" w:space="0" w:color="auto"/>
        <w:right w:val="none" w:sz="0" w:space="0" w:color="auto"/>
      </w:divBdr>
    </w:div>
    <w:div w:id="129176655">
      <w:bodyDiv w:val="1"/>
      <w:marLeft w:val="0"/>
      <w:marRight w:val="0"/>
      <w:marTop w:val="0"/>
      <w:marBottom w:val="0"/>
      <w:divBdr>
        <w:top w:val="none" w:sz="0" w:space="0" w:color="auto"/>
        <w:left w:val="none" w:sz="0" w:space="0" w:color="auto"/>
        <w:bottom w:val="none" w:sz="0" w:space="0" w:color="auto"/>
        <w:right w:val="none" w:sz="0" w:space="0" w:color="auto"/>
      </w:divBdr>
    </w:div>
    <w:div w:id="312803660">
      <w:bodyDiv w:val="1"/>
      <w:marLeft w:val="0"/>
      <w:marRight w:val="0"/>
      <w:marTop w:val="0"/>
      <w:marBottom w:val="0"/>
      <w:divBdr>
        <w:top w:val="none" w:sz="0" w:space="0" w:color="auto"/>
        <w:left w:val="none" w:sz="0" w:space="0" w:color="auto"/>
        <w:bottom w:val="none" w:sz="0" w:space="0" w:color="auto"/>
        <w:right w:val="none" w:sz="0" w:space="0" w:color="auto"/>
      </w:divBdr>
    </w:div>
    <w:div w:id="346099541">
      <w:bodyDiv w:val="1"/>
      <w:marLeft w:val="0"/>
      <w:marRight w:val="0"/>
      <w:marTop w:val="0"/>
      <w:marBottom w:val="0"/>
      <w:divBdr>
        <w:top w:val="none" w:sz="0" w:space="0" w:color="auto"/>
        <w:left w:val="none" w:sz="0" w:space="0" w:color="auto"/>
        <w:bottom w:val="none" w:sz="0" w:space="0" w:color="auto"/>
        <w:right w:val="none" w:sz="0" w:space="0" w:color="auto"/>
      </w:divBdr>
    </w:div>
    <w:div w:id="373971628">
      <w:bodyDiv w:val="1"/>
      <w:marLeft w:val="0"/>
      <w:marRight w:val="0"/>
      <w:marTop w:val="0"/>
      <w:marBottom w:val="0"/>
      <w:divBdr>
        <w:top w:val="none" w:sz="0" w:space="0" w:color="auto"/>
        <w:left w:val="none" w:sz="0" w:space="0" w:color="auto"/>
        <w:bottom w:val="none" w:sz="0" w:space="0" w:color="auto"/>
        <w:right w:val="none" w:sz="0" w:space="0" w:color="auto"/>
      </w:divBdr>
    </w:div>
    <w:div w:id="442650115">
      <w:bodyDiv w:val="1"/>
      <w:marLeft w:val="0"/>
      <w:marRight w:val="0"/>
      <w:marTop w:val="0"/>
      <w:marBottom w:val="0"/>
      <w:divBdr>
        <w:top w:val="none" w:sz="0" w:space="0" w:color="auto"/>
        <w:left w:val="none" w:sz="0" w:space="0" w:color="auto"/>
        <w:bottom w:val="none" w:sz="0" w:space="0" w:color="auto"/>
        <w:right w:val="none" w:sz="0" w:space="0" w:color="auto"/>
      </w:divBdr>
    </w:div>
    <w:div w:id="597131024">
      <w:bodyDiv w:val="1"/>
      <w:marLeft w:val="0"/>
      <w:marRight w:val="0"/>
      <w:marTop w:val="0"/>
      <w:marBottom w:val="0"/>
      <w:divBdr>
        <w:top w:val="none" w:sz="0" w:space="0" w:color="auto"/>
        <w:left w:val="none" w:sz="0" w:space="0" w:color="auto"/>
        <w:bottom w:val="none" w:sz="0" w:space="0" w:color="auto"/>
        <w:right w:val="none" w:sz="0" w:space="0" w:color="auto"/>
      </w:divBdr>
    </w:div>
    <w:div w:id="842431846">
      <w:bodyDiv w:val="1"/>
      <w:marLeft w:val="0"/>
      <w:marRight w:val="0"/>
      <w:marTop w:val="0"/>
      <w:marBottom w:val="0"/>
      <w:divBdr>
        <w:top w:val="none" w:sz="0" w:space="0" w:color="auto"/>
        <w:left w:val="none" w:sz="0" w:space="0" w:color="auto"/>
        <w:bottom w:val="none" w:sz="0" w:space="0" w:color="auto"/>
        <w:right w:val="none" w:sz="0" w:space="0" w:color="auto"/>
      </w:divBdr>
    </w:div>
    <w:div w:id="953292032">
      <w:bodyDiv w:val="1"/>
      <w:marLeft w:val="0"/>
      <w:marRight w:val="0"/>
      <w:marTop w:val="0"/>
      <w:marBottom w:val="0"/>
      <w:divBdr>
        <w:top w:val="none" w:sz="0" w:space="0" w:color="auto"/>
        <w:left w:val="none" w:sz="0" w:space="0" w:color="auto"/>
        <w:bottom w:val="none" w:sz="0" w:space="0" w:color="auto"/>
        <w:right w:val="none" w:sz="0" w:space="0" w:color="auto"/>
      </w:divBdr>
    </w:div>
    <w:div w:id="981233625">
      <w:bodyDiv w:val="1"/>
      <w:marLeft w:val="0"/>
      <w:marRight w:val="0"/>
      <w:marTop w:val="0"/>
      <w:marBottom w:val="0"/>
      <w:divBdr>
        <w:top w:val="none" w:sz="0" w:space="0" w:color="auto"/>
        <w:left w:val="none" w:sz="0" w:space="0" w:color="auto"/>
        <w:bottom w:val="none" w:sz="0" w:space="0" w:color="auto"/>
        <w:right w:val="none" w:sz="0" w:space="0" w:color="auto"/>
      </w:divBdr>
      <w:divsChild>
        <w:div w:id="2147241123">
          <w:marLeft w:val="0"/>
          <w:marRight w:val="0"/>
          <w:marTop w:val="0"/>
          <w:marBottom w:val="0"/>
          <w:divBdr>
            <w:top w:val="none" w:sz="0" w:space="0" w:color="auto"/>
            <w:left w:val="none" w:sz="0" w:space="0" w:color="auto"/>
            <w:bottom w:val="none" w:sz="0" w:space="0" w:color="auto"/>
            <w:right w:val="none" w:sz="0" w:space="0" w:color="auto"/>
          </w:divBdr>
        </w:div>
        <w:div w:id="1339428333">
          <w:marLeft w:val="0"/>
          <w:marRight w:val="0"/>
          <w:marTop w:val="0"/>
          <w:marBottom w:val="0"/>
          <w:divBdr>
            <w:top w:val="none" w:sz="0" w:space="0" w:color="auto"/>
            <w:left w:val="none" w:sz="0" w:space="0" w:color="auto"/>
            <w:bottom w:val="none" w:sz="0" w:space="0" w:color="auto"/>
            <w:right w:val="none" w:sz="0" w:space="0" w:color="auto"/>
          </w:divBdr>
          <w:divsChild>
            <w:div w:id="993485516">
              <w:marLeft w:val="0"/>
              <w:marRight w:val="0"/>
              <w:marTop w:val="0"/>
              <w:marBottom w:val="0"/>
              <w:divBdr>
                <w:top w:val="none" w:sz="0" w:space="0" w:color="auto"/>
                <w:left w:val="none" w:sz="0" w:space="0" w:color="auto"/>
                <w:bottom w:val="none" w:sz="0" w:space="0" w:color="auto"/>
                <w:right w:val="none" w:sz="0" w:space="0" w:color="auto"/>
              </w:divBdr>
              <w:divsChild>
                <w:div w:id="727071209">
                  <w:marLeft w:val="0"/>
                  <w:marRight w:val="0"/>
                  <w:marTop w:val="0"/>
                  <w:marBottom w:val="0"/>
                  <w:divBdr>
                    <w:top w:val="none" w:sz="0" w:space="0" w:color="auto"/>
                    <w:left w:val="none" w:sz="0" w:space="0" w:color="auto"/>
                    <w:bottom w:val="none" w:sz="0" w:space="0" w:color="auto"/>
                    <w:right w:val="none" w:sz="0" w:space="0" w:color="auto"/>
                  </w:divBdr>
                  <w:divsChild>
                    <w:div w:id="6979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012944">
      <w:bodyDiv w:val="1"/>
      <w:marLeft w:val="0"/>
      <w:marRight w:val="0"/>
      <w:marTop w:val="0"/>
      <w:marBottom w:val="0"/>
      <w:divBdr>
        <w:top w:val="none" w:sz="0" w:space="0" w:color="auto"/>
        <w:left w:val="none" w:sz="0" w:space="0" w:color="auto"/>
        <w:bottom w:val="none" w:sz="0" w:space="0" w:color="auto"/>
        <w:right w:val="none" w:sz="0" w:space="0" w:color="auto"/>
      </w:divBdr>
    </w:div>
    <w:div w:id="1353997219">
      <w:bodyDiv w:val="1"/>
      <w:marLeft w:val="0"/>
      <w:marRight w:val="0"/>
      <w:marTop w:val="0"/>
      <w:marBottom w:val="0"/>
      <w:divBdr>
        <w:top w:val="none" w:sz="0" w:space="0" w:color="auto"/>
        <w:left w:val="none" w:sz="0" w:space="0" w:color="auto"/>
        <w:bottom w:val="none" w:sz="0" w:space="0" w:color="auto"/>
        <w:right w:val="none" w:sz="0" w:space="0" w:color="auto"/>
      </w:divBdr>
    </w:div>
    <w:div w:id="1440680898">
      <w:bodyDiv w:val="1"/>
      <w:marLeft w:val="0"/>
      <w:marRight w:val="0"/>
      <w:marTop w:val="0"/>
      <w:marBottom w:val="0"/>
      <w:divBdr>
        <w:top w:val="none" w:sz="0" w:space="0" w:color="auto"/>
        <w:left w:val="none" w:sz="0" w:space="0" w:color="auto"/>
        <w:bottom w:val="none" w:sz="0" w:space="0" w:color="auto"/>
        <w:right w:val="none" w:sz="0" w:space="0" w:color="auto"/>
      </w:divBdr>
    </w:div>
    <w:div w:id="1453862014">
      <w:bodyDiv w:val="1"/>
      <w:marLeft w:val="0"/>
      <w:marRight w:val="0"/>
      <w:marTop w:val="0"/>
      <w:marBottom w:val="0"/>
      <w:divBdr>
        <w:top w:val="none" w:sz="0" w:space="0" w:color="auto"/>
        <w:left w:val="none" w:sz="0" w:space="0" w:color="auto"/>
        <w:bottom w:val="none" w:sz="0" w:space="0" w:color="auto"/>
        <w:right w:val="none" w:sz="0" w:space="0" w:color="auto"/>
      </w:divBdr>
      <w:divsChild>
        <w:div w:id="2122218904">
          <w:marLeft w:val="0"/>
          <w:marRight w:val="0"/>
          <w:marTop w:val="0"/>
          <w:marBottom w:val="0"/>
          <w:divBdr>
            <w:top w:val="none" w:sz="0" w:space="0" w:color="auto"/>
            <w:left w:val="none" w:sz="0" w:space="0" w:color="auto"/>
            <w:bottom w:val="none" w:sz="0" w:space="0" w:color="auto"/>
            <w:right w:val="none" w:sz="0" w:space="0" w:color="auto"/>
          </w:divBdr>
        </w:div>
      </w:divsChild>
    </w:div>
    <w:div w:id="1562475623">
      <w:bodyDiv w:val="1"/>
      <w:marLeft w:val="0"/>
      <w:marRight w:val="0"/>
      <w:marTop w:val="0"/>
      <w:marBottom w:val="0"/>
      <w:divBdr>
        <w:top w:val="none" w:sz="0" w:space="0" w:color="auto"/>
        <w:left w:val="none" w:sz="0" w:space="0" w:color="auto"/>
        <w:bottom w:val="none" w:sz="0" w:space="0" w:color="auto"/>
        <w:right w:val="none" w:sz="0" w:space="0" w:color="auto"/>
      </w:divBdr>
    </w:div>
    <w:div w:id="1605921032">
      <w:bodyDiv w:val="1"/>
      <w:marLeft w:val="0"/>
      <w:marRight w:val="0"/>
      <w:marTop w:val="0"/>
      <w:marBottom w:val="0"/>
      <w:divBdr>
        <w:top w:val="none" w:sz="0" w:space="0" w:color="auto"/>
        <w:left w:val="none" w:sz="0" w:space="0" w:color="auto"/>
        <w:bottom w:val="none" w:sz="0" w:space="0" w:color="auto"/>
        <w:right w:val="none" w:sz="0" w:space="0" w:color="auto"/>
      </w:divBdr>
    </w:div>
    <w:div w:id="206833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hr/ethics/" TargetMode="External"/><Relationship Id="rId21" Type="http://schemas.openxmlformats.org/officeDocument/2006/relationships/hyperlink" Target="https://www.luc.edu/its/service/support_hours.shtml" TargetMode="External"/><Relationship Id="rId42" Type="http://schemas.openxmlformats.org/officeDocument/2006/relationships/hyperlink" Target="https://ebookcentral-proquest-com.flagship.luc.edu/lib/luc/detail.action?docID=1745456" TargetMode="External"/><Relationship Id="rId47" Type="http://schemas.openxmlformats.org/officeDocument/2006/relationships/hyperlink" Target="https://www.socialworkpodcast.com/2020/07/socialworkpolicing.html" TargetMode="External"/><Relationship Id="rId63" Type="http://schemas.openxmlformats.org/officeDocument/2006/relationships/hyperlink" Target="https://doi.org/10.2307/1519777" TargetMode="External"/><Relationship Id="rId68" Type="http://schemas.openxmlformats.org/officeDocument/2006/relationships/hyperlink" Target="http://doi.org/10.1080/10911359.2015.1052913" TargetMode="External"/><Relationship Id="rId84" Type="http://schemas.openxmlformats.org/officeDocument/2006/relationships/hyperlink" Target="https://luc.primo.exlibrisgroup.com/discovery/fulldisplay?docid=cdi_proquest_miscellaneous_1826670788&amp;context=PC&amp;vid=01LUC_INST:01LUC&amp;search_scope=MyInst_and_CI&amp;tab=Everything&amp;lang=en" TargetMode="External"/><Relationship Id="rId89" Type="http://schemas.openxmlformats.org/officeDocument/2006/relationships/hyperlink" Target="https://doi.org/10.1111/etho.12223" TargetMode="External"/><Relationship Id="rId7" Type="http://schemas.openxmlformats.org/officeDocument/2006/relationships/endnotes" Target="endnotes.xml"/><Relationship Id="rId71" Type="http://schemas.openxmlformats.org/officeDocument/2006/relationships/hyperlink" Target="http://www.socialworkpodcast.com/2008/11/schizophrenia-and-social-work-interview.html" TargetMode="External"/><Relationship Id="rId92" Type="http://schemas.openxmlformats.org/officeDocument/2006/relationships/hyperlink" Target="https://www.youtube.com/watch?v=H8CJxNP0nv8" TargetMode="External"/><Relationship Id="rId2" Type="http://schemas.openxmlformats.org/officeDocument/2006/relationships/numbering" Target="numbering.xml"/><Relationship Id="rId16" Type="http://schemas.openxmlformats.org/officeDocument/2006/relationships/hyperlink" Target="https://www.luc.edu/regrec/ferpa.shtml" TargetMode="External"/><Relationship Id="rId29" Type="http://schemas.openxmlformats.org/officeDocument/2006/relationships/hyperlink" Target="https://www.luc.edu/sac/" TargetMode="External"/><Relationship Id="rId11" Type="http://schemas.openxmlformats.org/officeDocument/2006/relationships/hyperlink" Target="mailto:SAC@luc.edu" TargetMode="External"/><Relationship Id="rId24" Type="http://schemas.openxmlformats.org/officeDocument/2006/relationships/hyperlink" Target="https://www.luc.edu/writing/index.shtml" TargetMode="External"/><Relationship Id="rId32" Type="http://schemas.openxmlformats.org/officeDocument/2006/relationships/hyperlink" Target="http://wpacouncil.org/files/wpa-plagiarism-statement.pdf" TargetMode="External"/><Relationship Id="rId37" Type="http://schemas.openxmlformats.org/officeDocument/2006/relationships/hyperlink" Target="https://journals.sagepub.com/doi/pdf/10.1177/1473325020923021?casa_token=yxUhh7HPHkUAAAAA:7LJnaliFOnfE2aXJOeVK2BcleVEhirMe-TybRXa233VesjSzk8X1cEvIdttjMVStxzqoRYxGwmlPyA" TargetMode="External"/><Relationship Id="rId40" Type="http://schemas.openxmlformats.org/officeDocument/2006/relationships/hyperlink" Target="https://ebookcentral-proquest-com.flagship.luc.edu/lib/luc/reader.action?docID=1457785&amp;ppg=20" TargetMode="External"/><Relationship Id="rId45" Type="http://schemas.openxmlformats.org/officeDocument/2006/relationships/hyperlink" Target="https://medium.com/@amarquez628/safe-and-brave-spaces-b9a3b51e107f" TargetMode="External"/><Relationship Id="rId53" Type="http://schemas.openxmlformats.org/officeDocument/2006/relationships/hyperlink" Target="https://doi.org/10.1177/1363461519861795" TargetMode="External"/><Relationship Id="rId58" Type="http://schemas.openxmlformats.org/officeDocument/2006/relationships/hyperlink" Target="https://www.psychologytoday.com/blog/side-effects/201305/the-nimh-withdraws-support-dsm-5" TargetMode="External"/><Relationship Id="rId66" Type="http://schemas.openxmlformats.org/officeDocument/2006/relationships/hyperlink" Target="http://www.abc.net.au/radionational/programs/allinthemind/neurotribes/6887954" TargetMode="External"/><Relationship Id="rId74" Type="http://schemas.openxmlformats.org/officeDocument/2006/relationships/hyperlink" Target="https://doi.org/10.1111/bdi.12638" TargetMode="External"/><Relationship Id="rId79" Type="http://schemas.openxmlformats.org/officeDocument/2006/relationships/hyperlink" Target="http://www.abc.net.au/radionational/programs/allinthemind/obsessive-compulsive-disorder/6568028" TargetMode="External"/><Relationship Id="rId87" Type="http://schemas.openxmlformats.org/officeDocument/2006/relationships/hyperlink" Target="https://doi.org/10.7312/free10236.16"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nami.org/Blogs/NAMI-Blog/April-2015/Science-Meets-the-Human-Experience-Integrating-th" TargetMode="External"/><Relationship Id="rId82" Type="http://schemas.openxmlformats.org/officeDocument/2006/relationships/hyperlink" Target="http://ebookcentral.proquest.com/lib/luc/detail.action?docID=240118" TargetMode="External"/><Relationship Id="rId90" Type="http://schemas.openxmlformats.org/officeDocument/2006/relationships/hyperlink" Target="https://doi.org/10.1080/02791072.2012.736822" TargetMode="External"/><Relationship Id="rId95" Type="http://schemas.openxmlformats.org/officeDocument/2006/relationships/hyperlink" Target="http://socialworkpodcast.com/2007/10/dialectical-behavior-therapy-interview.html" TargetMode="External"/><Relationship Id="rId19" Type="http://schemas.openxmlformats.org/officeDocument/2006/relationships/hyperlink" Target="http://owl.english.purdue.edu/owl/resource/560/01/" TargetMode="External"/><Relationship Id="rId14" Type="http://schemas.openxmlformats.org/officeDocument/2006/relationships/hyperlink" Target="https://www.luc.edu/equity/about/contacttheoecteam/" TargetMode="External"/><Relationship Id="rId22" Type="http://schemas.openxmlformats.org/officeDocument/2006/relationships/hyperlink" Target="http://www.luc.edu/its/service/" TargetMode="External"/><Relationship Id="rId27" Type="http://schemas.openxmlformats.org/officeDocument/2006/relationships/hyperlink" Target="https://www.luc.edu/veterans/" TargetMode="External"/><Relationship Id="rId30" Type="http://schemas.openxmlformats.org/officeDocument/2006/relationships/hyperlink" Target="http://www.plagiarism.org/" TargetMode="External"/><Relationship Id="rId35" Type="http://schemas.openxmlformats.org/officeDocument/2006/relationships/hyperlink" Target="https://dsm-psychiatryonline-org.flagship.luc.edu/doi/book/10.1176/appi.books.9780890425596" TargetMode="External"/><Relationship Id="rId43" Type="http://schemas.openxmlformats.org/officeDocument/2006/relationships/hyperlink" Target="https://luc.primo.exlibrisgroup.com/discovery/fulldisplay?docid=cdi_crossref_primary_10_1080_01488376_2018_1472174&amp;context=PC&amp;vid=01LUC_INST:01LUC&amp;search_scope=MyInst_and_CI&amp;tab=Everything&amp;lang=en" TargetMode="External"/><Relationship Id="rId48" Type="http://schemas.openxmlformats.org/officeDocument/2006/relationships/hyperlink" Target="https://business.facebook.com/swpodcast/videos/310765373631603/" TargetMode="External"/><Relationship Id="rId56" Type="http://schemas.openxmlformats.org/officeDocument/2006/relationships/hyperlink" Target="https://www.nncionline.org/course/episode-1-whats-in-a-name/" TargetMode="External"/><Relationship Id="rId64" Type="http://schemas.openxmlformats.org/officeDocument/2006/relationships/hyperlink" Target="https://doi.org/10.1007/s40596-019-01127-6" TargetMode="External"/><Relationship Id="rId69" Type="http://schemas.openxmlformats.org/officeDocument/2006/relationships/hyperlink" Target="http://www.psychologytoday.com/blog/side-effects/201005/how-schizophrenia-became-black-disease-interview-jonathan-metzl" TargetMode="External"/><Relationship Id="rId77" Type="http://schemas.openxmlformats.org/officeDocument/2006/relationships/hyperlink" Target="https://doi.org/10.1016/j.janxdis.2010.09.011" TargetMode="External"/><Relationship Id="rId100"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sakai.luc.edu/access/content/group/SOWK_501_003_3784_1212/Gray%20_2016_%20An%20introduction%20to%20the%20competency-based%20assessment%20model.pdf" TargetMode="External"/><Relationship Id="rId72" Type="http://schemas.openxmlformats.org/officeDocument/2006/relationships/hyperlink" Target="http://www.socialworkpodcast.com/2015/05/CET.html" TargetMode="External"/><Relationship Id="rId80" Type="http://schemas.openxmlformats.org/officeDocument/2006/relationships/hyperlink" Target="https://doi.org/10.1080/15332981003744438" TargetMode="External"/><Relationship Id="rId85" Type="http://schemas.openxmlformats.org/officeDocument/2006/relationships/hyperlink" Target="https://doi.org/10.1179/1573658XY00000000004" TargetMode="External"/><Relationship Id="rId93" Type="http://schemas.openxmlformats.org/officeDocument/2006/relationships/hyperlink" Target="http://www.socialworkpodcast.com/2016/08/RecoveryHS.html"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luc.edu/socialwork/aboutus/" TargetMode="External"/><Relationship Id="rId17" Type="http://schemas.openxmlformats.org/officeDocument/2006/relationships/hyperlink" Target="https://ed.gov/policy/gen/reg/ferpa/index.html" TargetMode="External"/><Relationship Id="rId25" Type="http://schemas.openxmlformats.org/officeDocument/2006/relationships/hyperlink" Target="https://www.luc.edu/tutoring/index.shtml" TargetMode="External"/><Relationship Id="rId33" Type="http://schemas.openxmlformats.org/officeDocument/2006/relationships/hyperlink" Target="https://www.turnitin.com/" TargetMode="External"/><Relationship Id="rId38" Type="http://schemas.openxmlformats.org/officeDocument/2006/relationships/hyperlink" Target="https://ebookcentral-proquest-com.flagship.luc.edu/lib/luc/reader.action?docID=1457785&amp;ppg=1" TargetMode="External"/><Relationship Id="rId46" Type="http://schemas.openxmlformats.org/officeDocument/2006/relationships/hyperlink" Target="https://socialworkpodcast.blogspot.com/2020/07/socialworkpolicing.html" TargetMode="External"/><Relationship Id="rId59" Type="http://schemas.openxmlformats.org/officeDocument/2006/relationships/hyperlink" Target="http://www.socialworkpodcast.com/2016/01/DSM5critique.html" TargetMode="External"/><Relationship Id="rId67" Type="http://schemas.openxmlformats.org/officeDocument/2006/relationships/hyperlink" Target="http://doi.org/10.1080/15332985.2012.664487" TargetMode="External"/><Relationship Id="rId103" Type="http://schemas.openxmlformats.org/officeDocument/2006/relationships/theme" Target="theme/theme1.xml"/><Relationship Id="rId20" Type="http://schemas.openxmlformats.org/officeDocument/2006/relationships/hyperlink" Target="mailto:ITSServiceDesk@luc.edu" TargetMode="External"/><Relationship Id="rId41" Type="http://schemas.openxmlformats.org/officeDocument/2006/relationships/hyperlink" Target="https://ebookcentral-proquest-com.flagship.luc.edu/lib/luc/reader.action?docID=1457785&amp;ppg=124" TargetMode="External"/><Relationship Id="rId54" Type="http://schemas.openxmlformats.org/officeDocument/2006/relationships/hyperlink" Target="https://doi.org/10.1080/15332691.2020.1835595" TargetMode="External"/><Relationship Id="rId62" Type="http://schemas.openxmlformats.org/officeDocument/2006/relationships/hyperlink" Target="http://doi.org/10.3389/fpsyt.2015.00166" TargetMode="External"/><Relationship Id="rId70" Type="http://schemas.openxmlformats.org/officeDocument/2006/relationships/hyperlink" Target="http://www.socialworkpodcast.com/2008/11/schizophrenia-and-social-work-interview.html" TargetMode="External"/><Relationship Id="rId75" Type="http://schemas.openxmlformats.org/officeDocument/2006/relationships/hyperlink" Target="https://doi.org/10.1177/1363461519832473" TargetMode="External"/><Relationship Id="rId83" Type="http://schemas.openxmlformats.org/officeDocument/2006/relationships/hyperlink" Target="https://loyola-primo.hosted.exlibrisgroup.com/primo-explore/fulldisplay?docid=TN_cdi_crossref_primary_10_1080_10550490290087893&amp;context=PC&amp;vid=01LUC&amp;search_scope=Library_Collections&amp;tab=default_tab&amp;lang=en_US" TargetMode="External"/><Relationship Id="rId88" Type="http://schemas.openxmlformats.org/officeDocument/2006/relationships/hyperlink" Target="https://practicetransformation.umn.edu/wp-content/uploads/2019/01/Using-the-ASAM-Framework-for-Co-Occurring-Disorders-PPT.pdf" TargetMode="External"/><Relationship Id="rId91" Type="http://schemas.openxmlformats.org/officeDocument/2006/relationships/hyperlink" Target="http://www.anypositivechange.org/ODvv.pdf"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media/lucedu/law/fyi/pdfs/Code_of_Conduct.pdf" TargetMode="External"/><Relationship Id="rId23" Type="http://schemas.openxmlformats.org/officeDocument/2006/relationships/hyperlink" Target="https://www.luc.edu/wellness/" TargetMode="External"/><Relationship Id="rId28" Type="http://schemas.openxmlformats.org/officeDocument/2006/relationships/hyperlink" Target="http://libraries.luc.edu/" TargetMode="External"/><Relationship Id="rId36" Type="http://schemas.openxmlformats.org/officeDocument/2006/relationships/hyperlink" Target="https://medium.com/@amarquez628/brave-space-classroom-basics-b1fba7c9ac5b" TargetMode="External"/><Relationship Id="rId49" Type="http://schemas.openxmlformats.org/officeDocument/2006/relationships/hyperlink" Target="https://youtu.be/daaZ-vNTDrU" TargetMode="External"/><Relationship Id="rId57" Type="http://schemas.openxmlformats.org/officeDocument/2006/relationships/hyperlink" Target="https://www.psychologytoday.com/blog/dsm5-in-distress/201212/dsm-5-is-guide-not-bible-ignore-its-ten-worst-changes" TargetMode="External"/><Relationship Id="rId10" Type="http://schemas.openxmlformats.org/officeDocument/2006/relationships/hyperlink" Target="https://www.luc.edu/socialwork/student-support/forms/" TargetMode="External"/><Relationship Id="rId31" Type="http://schemas.openxmlformats.org/officeDocument/2006/relationships/hyperlink" Target="https://www.luc.edu/socialwork/student-support/forms/" TargetMode="External"/><Relationship Id="rId44" Type="http://schemas.openxmlformats.org/officeDocument/2006/relationships/hyperlink" Target="https://sakai.luc.edu/access/content/group/7bd7587e-1a8f-422a-83d5-6a7739cde1a9/The-mentoring-FAN-a-conceptual-model-of-attunement-for-youth-development-settings.pdf" TargetMode="External"/><Relationship Id="rId52" Type="http://schemas.openxmlformats.org/officeDocument/2006/relationships/hyperlink" Target="https://doi.org/10.1016/j.psc.2020.05.002" TargetMode="External"/><Relationship Id="rId60" Type="http://schemas.openxmlformats.org/officeDocument/2006/relationships/hyperlink" Target="http://www.socialworkpodcast.com/2016/01/DSM5critique.html" TargetMode="External"/><Relationship Id="rId65" Type="http://schemas.openxmlformats.org/officeDocument/2006/relationships/hyperlink" Target="http://www.abc.net.au/radionational/programs/allinthemind/neurotribes/6887954" TargetMode="External"/><Relationship Id="rId73" Type="http://schemas.openxmlformats.org/officeDocument/2006/relationships/hyperlink" Target="http://www.socialworkpodcast.com/2015/05/CET.html" TargetMode="External"/><Relationship Id="rId78" Type="http://schemas.openxmlformats.org/officeDocument/2006/relationships/hyperlink" Target="https://doi.org/10.1037/amp0000326" TargetMode="External"/><Relationship Id="rId81" Type="http://schemas.openxmlformats.org/officeDocument/2006/relationships/hyperlink" Target="https://doi.org/10.1080/07347324.2020.1741330" TargetMode="External"/><Relationship Id="rId86" Type="http://schemas.openxmlformats.org/officeDocument/2006/relationships/hyperlink" Target="https://www.jstor.org/stable/10.7312/free10236.16" TargetMode="External"/><Relationship Id="rId94" Type="http://schemas.openxmlformats.org/officeDocument/2006/relationships/hyperlink" Target="https://doi.org/10.1192/bjb.2018.31" TargetMode="External"/><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uc.edu/socialwork/student-support/forms/" TargetMode="External"/><Relationship Id="rId13" Type="http://schemas.openxmlformats.org/officeDocument/2006/relationships/hyperlink" Target="http://www.luc.edu/hr/titlenine.shtml" TargetMode="External"/><Relationship Id="rId18" Type="http://schemas.openxmlformats.org/officeDocument/2006/relationships/hyperlink" Target="http://www.luc.edu/writing/home/" TargetMode="External"/><Relationship Id="rId39" Type="http://schemas.openxmlformats.org/officeDocument/2006/relationships/hyperlink" Target="https://ebookcentral-proquest-com.flagship.luc.edu/lib/luc/reader.action?docID=1457785&amp;ppg=18" TargetMode="External"/><Relationship Id="rId34" Type="http://schemas.openxmlformats.org/officeDocument/2006/relationships/hyperlink" Target="https://www.luc.edu/socialwork/student-support/forms/" TargetMode="External"/><Relationship Id="rId50" Type="http://schemas.openxmlformats.org/officeDocument/2006/relationships/hyperlink" Target="https://sakai.luc.edu/access/content/group/SOWK_501_003_3784_1212/Gray%20_2016_%20An%20introduction%20to%20the%20competency-based%20assessment%20model.pdf" TargetMode="External"/><Relationship Id="rId55" Type="http://schemas.openxmlformats.org/officeDocument/2006/relationships/hyperlink" Target="https://doi.org/10.1080/00377317.2014.923640" TargetMode="External"/><Relationship Id="rId76" Type="http://schemas.openxmlformats.org/officeDocument/2006/relationships/hyperlink" Target="http://www.radiolab.org/story/lithium/" TargetMode="External"/><Relationship Id="rId9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3433-EA09-4A41-BF37-5A883A3A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8603</Words>
  <Characters>49038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Christie</dc:creator>
  <cp:keywords/>
  <dc:description/>
  <cp:lastModifiedBy>Carr, Nancy</cp:lastModifiedBy>
  <cp:revision>2</cp:revision>
  <dcterms:created xsi:type="dcterms:W3CDTF">2022-09-13T21:40:00Z</dcterms:created>
  <dcterms:modified xsi:type="dcterms:W3CDTF">2022-09-13T21:40:00Z</dcterms:modified>
</cp:coreProperties>
</file>